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AD4F05" w:rsidRDefault="006544C4" w:rsidP="000D6569">
      <w:pPr>
        <w:jc w:val="center"/>
        <w:rPr>
          <w:lang w:val="fr-FR"/>
        </w:rPr>
      </w:pPr>
      <w:bookmarkStart w:id="0" w:name="_GoBack"/>
      <w:bookmarkEnd w:id="0"/>
    </w:p>
    <w:p w:rsidR="006544C4" w:rsidRPr="00AD4F05" w:rsidRDefault="006544C4" w:rsidP="000D6569">
      <w:pPr>
        <w:jc w:val="center"/>
        <w:rPr>
          <w:lang w:val="fr-FR"/>
        </w:rPr>
      </w:pPr>
    </w:p>
    <w:p w:rsidR="006544C4" w:rsidRPr="00AD4F05" w:rsidRDefault="000D6569" w:rsidP="000D6569">
      <w:pPr>
        <w:pStyle w:val="DecHTitle"/>
        <w:rPr>
          <w:lang w:val="fr-FR"/>
        </w:rPr>
      </w:pPr>
      <w:r>
        <w:rPr>
          <w:szCs w:val="24"/>
          <w:lang w:val="fr-FR"/>
        </w:rPr>
        <w:t>QUATRIÈME SECTION</w:t>
      </w:r>
    </w:p>
    <w:p w:rsidR="006544C4" w:rsidRPr="00AD4F05" w:rsidRDefault="006544C4" w:rsidP="000D6569">
      <w:pPr>
        <w:pStyle w:val="DecHTitle"/>
        <w:rPr>
          <w:caps/>
          <w:sz w:val="32"/>
          <w:lang w:val="fr-FR"/>
        </w:rPr>
      </w:pPr>
      <w:r w:rsidRPr="00AD4F05">
        <w:rPr>
          <w:lang w:val="fr-FR"/>
        </w:rPr>
        <w:t>DÉCISION</w:t>
      </w:r>
    </w:p>
    <w:p w:rsidR="006544C4" w:rsidRPr="00AD4F05" w:rsidRDefault="000D6569" w:rsidP="000D6569">
      <w:pPr>
        <w:pStyle w:val="ECHRTitleCentre2"/>
        <w:rPr>
          <w:lang w:val="fr-FR"/>
        </w:rPr>
      </w:pPr>
      <w:r w:rsidRPr="00AD4F05">
        <w:rPr>
          <w:lang w:val="fr-FR"/>
        </w:rPr>
        <w:t>Requête n</w:t>
      </w:r>
      <w:r w:rsidRPr="00AD4F05">
        <w:rPr>
          <w:vertAlign w:val="superscript"/>
          <w:lang w:val="fr-FR"/>
        </w:rPr>
        <w:t>o</w:t>
      </w:r>
      <w:r w:rsidR="006544C4" w:rsidRPr="00AD4F05">
        <w:rPr>
          <w:lang w:val="fr-FR"/>
        </w:rPr>
        <w:t xml:space="preserve"> </w:t>
      </w:r>
      <w:r>
        <w:rPr>
          <w:lang w:val="fr-FR"/>
        </w:rPr>
        <w:t>56678/09</w:t>
      </w:r>
      <w:r w:rsidR="006544C4" w:rsidRPr="00AD4F05">
        <w:rPr>
          <w:lang w:val="fr-FR"/>
        </w:rPr>
        <w:br/>
      </w:r>
      <w:r>
        <w:rPr>
          <w:lang w:val="fr-FR"/>
        </w:rPr>
        <w:t>CICNUS SRL</w:t>
      </w:r>
      <w:r w:rsidRPr="00AD4F05">
        <w:rPr>
          <w:lang w:val="fr-FR"/>
        </w:rPr>
        <w:br/>
      </w:r>
      <w:r w:rsidR="006544C4" w:rsidRPr="00AD4F05">
        <w:rPr>
          <w:lang w:val="fr-FR"/>
        </w:rPr>
        <w:t xml:space="preserve">contre </w:t>
      </w:r>
      <w:r w:rsidRPr="00AD4F05">
        <w:rPr>
          <w:lang w:val="fr-FR"/>
        </w:rPr>
        <w:t>l</w:t>
      </w:r>
      <w:r w:rsidR="00636A28">
        <w:rPr>
          <w:lang w:val="fr-FR"/>
        </w:rPr>
        <w:t>’</w:t>
      </w:r>
      <w:r>
        <w:rPr>
          <w:lang w:val="fr-FR"/>
        </w:rPr>
        <w:t>Italie</w:t>
      </w:r>
    </w:p>
    <w:p w:rsidR="000D6569" w:rsidRPr="00905EBC" w:rsidRDefault="000D6569" w:rsidP="000D6569">
      <w:pPr>
        <w:pStyle w:val="ECHRPara"/>
        <w:rPr>
          <w:lang w:val="fr-FR"/>
        </w:rPr>
      </w:pPr>
      <w:r w:rsidRPr="00905EBC">
        <w:rPr>
          <w:lang w:val="fr-FR"/>
        </w:rPr>
        <w:t>La Cour européenne des droits de l</w:t>
      </w:r>
      <w:r w:rsidR="00636A28">
        <w:rPr>
          <w:lang w:val="fr-FR"/>
        </w:rPr>
        <w:t>’</w:t>
      </w:r>
      <w:r w:rsidRPr="00905EBC">
        <w:rPr>
          <w:lang w:val="fr-FR"/>
        </w:rPr>
        <w:t>homme (</w:t>
      </w:r>
      <w:r>
        <w:rPr>
          <w:lang w:val="fr-FR"/>
        </w:rPr>
        <w:t>quatrième section</w:t>
      </w:r>
      <w:r w:rsidRPr="00905EBC">
        <w:rPr>
          <w:lang w:val="fr-FR"/>
        </w:rPr>
        <w:t xml:space="preserve">), siégeant le </w:t>
      </w:r>
      <w:r>
        <w:rPr>
          <w:lang w:val="fr-FR"/>
        </w:rPr>
        <w:t>8 septembre 2015</w:t>
      </w:r>
      <w:r w:rsidRPr="00905EBC">
        <w:rPr>
          <w:lang w:val="fr-FR"/>
        </w:rPr>
        <w:t xml:space="preserve"> en une </w:t>
      </w:r>
      <w:r w:rsidR="00BA7294">
        <w:rPr>
          <w:lang w:val="fr-FR"/>
        </w:rPr>
        <w:t>C</w:t>
      </w:r>
      <w:r>
        <w:rPr>
          <w:lang w:val="fr-FR"/>
        </w:rPr>
        <w:t>hambre</w:t>
      </w:r>
      <w:r w:rsidRPr="00905EBC">
        <w:rPr>
          <w:lang w:val="fr-FR"/>
        </w:rPr>
        <w:t xml:space="preserve"> composée de :</w:t>
      </w:r>
    </w:p>
    <w:p w:rsidR="000D6569" w:rsidRPr="00905EBC" w:rsidRDefault="000D6569" w:rsidP="00636A28">
      <w:pPr>
        <w:pStyle w:val="ECHRDecisionBody"/>
        <w:rPr>
          <w:lang w:val="fr-FR"/>
        </w:rPr>
      </w:pPr>
      <w:r>
        <w:rPr>
          <w:lang w:val="fr-FR"/>
        </w:rPr>
        <w:tab/>
      </w:r>
      <w:proofErr w:type="spellStart"/>
      <w:r w:rsidRPr="000D6569">
        <w:rPr>
          <w:lang w:val="fr-FR"/>
        </w:rPr>
        <w:t>Päivi</w:t>
      </w:r>
      <w:proofErr w:type="spellEnd"/>
      <w:r w:rsidRPr="000D6569">
        <w:rPr>
          <w:lang w:val="fr-FR"/>
        </w:rPr>
        <w:t xml:space="preserve"> </w:t>
      </w:r>
      <w:proofErr w:type="spellStart"/>
      <w:r w:rsidRPr="000D6569">
        <w:rPr>
          <w:lang w:val="fr-FR"/>
        </w:rPr>
        <w:t>Hirvelä</w:t>
      </w:r>
      <w:proofErr w:type="spellEnd"/>
      <w:r w:rsidRPr="000D6569">
        <w:rPr>
          <w:lang w:val="fr-FR"/>
        </w:rPr>
        <w:t>,</w:t>
      </w:r>
      <w:r w:rsidRPr="000D6569">
        <w:rPr>
          <w:i/>
          <w:lang w:val="fr-FR"/>
        </w:rPr>
        <w:t xml:space="preserve"> présidente,</w:t>
      </w:r>
      <w:r w:rsidRPr="000D6569">
        <w:rPr>
          <w:i/>
          <w:lang w:val="fr-FR"/>
        </w:rPr>
        <w:br/>
      </w:r>
      <w:r w:rsidRPr="000D6569">
        <w:rPr>
          <w:lang w:val="fr-FR"/>
        </w:rPr>
        <w:tab/>
        <w:t>Guido Raimondi,</w:t>
      </w:r>
      <w:r w:rsidRPr="000D6569">
        <w:rPr>
          <w:i/>
          <w:lang w:val="fr-FR"/>
        </w:rPr>
        <w:br/>
      </w:r>
      <w:r w:rsidRPr="000D6569">
        <w:rPr>
          <w:lang w:val="fr-FR"/>
        </w:rPr>
        <w:tab/>
        <w:t xml:space="preserve">George </w:t>
      </w:r>
      <w:proofErr w:type="spellStart"/>
      <w:r w:rsidRPr="000D6569">
        <w:rPr>
          <w:lang w:val="fr-FR"/>
        </w:rPr>
        <w:t>Nicolaou</w:t>
      </w:r>
      <w:proofErr w:type="spellEnd"/>
      <w:r w:rsidRPr="000D6569">
        <w:rPr>
          <w:lang w:val="fr-FR"/>
        </w:rPr>
        <w:t>,</w:t>
      </w:r>
      <w:r w:rsidRPr="000D6569">
        <w:rPr>
          <w:i/>
          <w:lang w:val="fr-FR"/>
        </w:rPr>
        <w:br/>
      </w:r>
      <w:r w:rsidRPr="000D6569">
        <w:rPr>
          <w:lang w:val="fr-FR"/>
        </w:rPr>
        <w:tab/>
      </w:r>
      <w:proofErr w:type="spellStart"/>
      <w:r w:rsidRPr="000D6569">
        <w:rPr>
          <w:lang w:val="fr-FR"/>
        </w:rPr>
        <w:t>Nona</w:t>
      </w:r>
      <w:proofErr w:type="spellEnd"/>
      <w:r w:rsidRPr="000D6569">
        <w:rPr>
          <w:lang w:val="fr-FR"/>
        </w:rPr>
        <w:t xml:space="preserve"> </w:t>
      </w:r>
      <w:proofErr w:type="spellStart"/>
      <w:r w:rsidRPr="000D6569">
        <w:rPr>
          <w:lang w:val="fr-FR"/>
        </w:rPr>
        <w:t>Tsotsoria</w:t>
      </w:r>
      <w:proofErr w:type="spellEnd"/>
      <w:r w:rsidRPr="000D6569">
        <w:rPr>
          <w:lang w:val="fr-FR"/>
        </w:rPr>
        <w:t>,</w:t>
      </w:r>
      <w:r w:rsidRPr="000D6569">
        <w:rPr>
          <w:i/>
          <w:lang w:val="fr-FR"/>
        </w:rPr>
        <w:br/>
      </w:r>
      <w:r w:rsidRPr="000D6569">
        <w:rPr>
          <w:lang w:val="fr-FR"/>
        </w:rPr>
        <w:tab/>
        <w:t xml:space="preserve">Krzysztof </w:t>
      </w:r>
      <w:proofErr w:type="spellStart"/>
      <w:r w:rsidRPr="000D6569">
        <w:rPr>
          <w:lang w:val="fr-FR"/>
        </w:rPr>
        <w:t>Wojtyczek</w:t>
      </w:r>
      <w:proofErr w:type="spellEnd"/>
      <w:r w:rsidRPr="000D6569">
        <w:rPr>
          <w:lang w:val="fr-FR"/>
        </w:rPr>
        <w:t>,</w:t>
      </w:r>
      <w:r w:rsidRPr="000D6569">
        <w:rPr>
          <w:i/>
          <w:lang w:val="fr-FR"/>
        </w:rPr>
        <w:br/>
      </w:r>
      <w:r w:rsidRPr="000D6569">
        <w:rPr>
          <w:lang w:val="fr-FR"/>
        </w:rPr>
        <w:tab/>
        <w:t xml:space="preserve">Faris </w:t>
      </w:r>
      <w:proofErr w:type="spellStart"/>
      <w:r w:rsidRPr="000D6569">
        <w:rPr>
          <w:lang w:val="fr-FR"/>
        </w:rPr>
        <w:t>Vehabović</w:t>
      </w:r>
      <w:proofErr w:type="spellEnd"/>
      <w:r w:rsidRPr="000D6569">
        <w:rPr>
          <w:lang w:val="fr-FR"/>
        </w:rPr>
        <w:t>,</w:t>
      </w:r>
      <w:r w:rsidRPr="000D6569">
        <w:rPr>
          <w:i/>
          <w:lang w:val="fr-FR"/>
        </w:rPr>
        <w:br/>
      </w:r>
      <w:r w:rsidRPr="000D6569">
        <w:rPr>
          <w:lang w:val="fr-FR"/>
        </w:rPr>
        <w:tab/>
      </w:r>
      <w:proofErr w:type="spellStart"/>
      <w:r w:rsidRPr="000D6569">
        <w:rPr>
          <w:lang w:val="fr-FR"/>
        </w:rPr>
        <w:t>Yonko</w:t>
      </w:r>
      <w:proofErr w:type="spellEnd"/>
      <w:r w:rsidRPr="000D6569">
        <w:rPr>
          <w:lang w:val="fr-FR"/>
        </w:rPr>
        <w:t xml:space="preserve"> </w:t>
      </w:r>
      <w:proofErr w:type="spellStart"/>
      <w:r w:rsidRPr="000D6569">
        <w:rPr>
          <w:lang w:val="fr-FR"/>
        </w:rPr>
        <w:t>Grozev</w:t>
      </w:r>
      <w:proofErr w:type="spellEnd"/>
      <w:r w:rsidRPr="000D6569">
        <w:rPr>
          <w:lang w:val="fr-FR"/>
        </w:rPr>
        <w:t>,</w:t>
      </w:r>
      <w:r w:rsidRPr="000D6569">
        <w:rPr>
          <w:i/>
          <w:lang w:val="fr-FR"/>
        </w:rPr>
        <w:t xml:space="preserve"> juges</w:t>
      </w:r>
      <w:proofErr w:type="gramStart"/>
      <w:r w:rsidRPr="000D6569">
        <w:rPr>
          <w:i/>
          <w:lang w:val="fr-FR"/>
        </w:rPr>
        <w:t>,</w:t>
      </w:r>
      <w:proofErr w:type="gramEnd"/>
      <w:r w:rsidRPr="000D6569">
        <w:rPr>
          <w:i/>
          <w:lang w:val="fr-FR"/>
        </w:rPr>
        <w:br/>
      </w:r>
      <w:r w:rsidRPr="00F97ADA">
        <w:rPr>
          <w:lang w:val="fr-FR"/>
        </w:rPr>
        <w:t xml:space="preserve">et de Françoise </w:t>
      </w:r>
      <w:proofErr w:type="spellStart"/>
      <w:r w:rsidRPr="00F97ADA">
        <w:rPr>
          <w:lang w:val="fr-FR"/>
        </w:rPr>
        <w:t>Elens-Passos</w:t>
      </w:r>
      <w:proofErr w:type="spellEnd"/>
      <w:r w:rsidRPr="00F97ADA">
        <w:rPr>
          <w:lang w:val="fr-FR"/>
        </w:rPr>
        <w:t xml:space="preserve">, </w:t>
      </w:r>
      <w:r w:rsidRPr="00F97ADA">
        <w:rPr>
          <w:i/>
          <w:lang w:val="fr-FR"/>
        </w:rPr>
        <w:t>greffière de section</w:t>
      </w:r>
      <w:r w:rsidRPr="00F97ADA">
        <w:rPr>
          <w:lang w:val="fr-FR"/>
        </w:rPr>
        <w:t>,</w:t>
      </w:r>
    </w:p>
    <w:p w:rsidR="000D6569" w:rsidRPr="00905EBC" w:rsidRDefault="000D6569" w:rsidP="000D6569">
      <w:pPr>
        <w:pStyle w:val="ECHRPara"/>
        <w:rPr>
          <w:lang w:val="fr-FR"/>
        </w:rPr>
      </w:pPr>
      <w:r w:rsidRPr="00905EBC">
        <w:rPr>
          <w:lang w:val="fr-FR"/>
        </w:rPr>
        <w:t xml:space="preserve">Vu la requête susmentionnée introduite le </w:t>
      </w:r>
      <w:r>
        <w:rPr>
          <w:lang w:val="fr-FR"/>
        </w:rPr>
        <w:t>21 octobre 2009</w:t>
      </w:r>
      <w:r w:rsidRPr="00905EBC">
        <w:rPr>
          <w:lang w:val="fr-FR"/>
        </w:rPr>
        <w:t>,</w:t>
      </w:r>
    </w:p>
    <w:p w:rsidR="000D6569" w:rsidRPr="00905EBC" w:rsidRDefault="000D6569" w:rsidP="000D6569">
      <w:pPr>
        <w:pStyle w:val="ECHRPara"/>
        <w:rPr>
          <w:lang w:val="fr-FR"/>
        </w:rPr>
      </w:pPr>
      <w:r w:rsidRPr="00905EBC">
        <w:rPr>
          <w:lang w:val="fr-FR"/>
        </w:rPr>
        <w:t>Vu les observations soumises par le gouvernement défendeur et celles présentées en réponse par l</w:t>
      </w:r>
      <w:r>
        <w:rPr>
          <w:lang w:val="fr-FR"/>
        </w:rPr>
        <w:t>a</w:t>
      </w:r>
      <w:r w:rsidRPr="00905EBC">
        <w:rPr>
          <w:lang w:val="fr-FR"/>
        </w:rPr>
        <w:t xml:space="preserve"> requérant</w:t>
      </w:r>
      <w:r>
        <w:rPr>
          <w:lang w:val="fr-FR"/>
        </w:rPr>
        <w:t>e</w:t>
      </w:r>
      <w:r w:rsidRPr="00905EBC">
        <w:rPr>
          <w:lang w:val="fr-FR"/>
        </w:rPr>
        <w:t>,</w:t>
      </w:r>
    </w:p>
    <w:p w:rsidR="000D6569" w:rsidRPr="00905EBC" w:rsidRDefault="000D6569" w:rsidP="000D6569">
      <w:pPr>
        <w:pStyle w:val="ECHRPara"/>
        <w:rPr>
          <w:lang w:val="fr-FR"/>
        </w:rPr>
      </w:pPr>
      <w:r w:rsidRPr="00905EBC">
        <w:rPr>
          <w:lang w:val="fr-FR"/>
        </w:rPr>
        <w:t>Après en avoir délibéré, rend la décision suivante :</w:t>
      </w:r>
    </w:p>
    <w:p w:rsidR="000D6569" w:rsidRPr="00905EBC" w:rsidRDefault="000D6569" w:rsidP="000D6569">
      <w:pPr>
        <w:pStyle w:val="ECHRTitle1"/>
        <w:rPr>
          <w:lang w:val="fr-FR"/>
        </w:rPr>
      </w:pPr>
      <w:r w:rsidRPr="00905EBC">
        <w:rPr>
          <w:lang w:val="fr-FR"/>
        </w:rPr>
        <w:t>EN FAIT</w:t>
      </w:r>
    </w:p>
    <w:p w:rsidR="000D6569" w:rsidRPr="00905EBC" w:rsidRDefault="000D6569" w:rsidP="000D6569">
      <w:pPr>
        <w:pStyle w:val="ECHRPara"/>
        <w:rPr>
          <w:lang w:val="fr-FR"/>
        </w:rPr>
      </w:pPr>
      <w:r>
        <w:rPr>
          <w:lang w:val="fr-FR"/>
        </w:rPr>
        <w:t>1.  La</w:t>
      </w:r>
      <w:r w:rsidRPr="006B54C6">
        <w:rPr>
          <w:lang w:val="fr-FR"/>
        </w:rPr>
        <w:t xml:space="preserve"> requérant</w:t>
      </w:r>
      <w:r>
        <w:rPr>
          <w:lang w:val="fr-FR"/>
        </w:rPr>
        <w:t>e</w:t>
      </w:r>
      <w:r w:rsidRPr="006B54C6">
        <w:rPr>
          <w:lang w:val="fr-FR"/>
        </w:rPr>
        <w:t xml:space="preserve">, </w:t>
      </w:r>
      <w:proofErr w:type="spellStart"/>
      <w:r>
        <w:rPr>
          <w:lang w:val="fr-FR"/>
        </w:rPr>
        <w:t>Cicnus</w:t>
      </w:r>
      <w:proofErr w:type="spellEnd"/>
      <w:r>
        <w:rPr>
          <w:lang w:val="fr-FR"/>
        </w:rPr>
        <w:t xml:space="preserve"> </w:t>
      </w:r>
      <w:proofErr w:type="spellStart"/>
      <w:r>
        <w:rPr>
          <w:lang w:val="fr-FR"/>
        </w:rPr>
        <w:t>Srl</w:t>
      </w:r>
      <w:proofErr w:type="spellEnd"/>
      <w:r w:rsidRPr="006B54C6">
        <w:rPr>
          <w:lang w:val="fr-FR"/>
        </w:rPr>
        <w:t>, est un</w:t>
      </w:r>
      <w:r>
        <w:rPr>
          <w:lang w:val="fr-FR"/>
        </w:rPr>
        <w:t>e société à responsabilité limitée italienne ayant son siège à Sanremo (Imperia)</w:t>
      </w:r>
      <w:r w:rsidRPr="006B54C6">
        <w:rPr>
          <w:lang w:val="fr-FR"/>
        </w:rPr>
        <w:t xml:space="preserve">. </w:t>
      </w:r>
      <w:r>
        <w:rPr>
          <w:lang w:val="fr-FR"/>
        </w:rPr>
        <w:t>Elle</w:t>
      </w:r>
      <w:r w:rsidRPr="006B54C6">
        <w:rPr>
          <w:lang w:val="fr-FR"/>
        </w:rPr>
        <w:t xml:space="preserve"> est représenté</w:t>
      </w:r>
      <w:r>
        <w:rPr>
          <w:lang w:val="fr-FR"/>
        </w:rPr>
        <w:t>e</w:t>
      </w:r>
      <w:r w:rsidRPr="006B54C6">
        <w:rPr>
          <w:lang w:val="fr-FR"/>
        </w:rPr>
        <w:t xml:space="preserve"> devant la Cour par M</w:t>
      </w:r>
      <w:r w:rsidRPr="006B54C6">
        <w:rPr>
          <w:vertAlign w:val="superscript"/>
          <w:lang w:val="fr-FR"/>
        </w:rPr>
        <w:t>e</w:t>
      </w:r>
      <w:r w:rsidR="00EC334C">
        <w:rPr>
          <w:lang w:val="fr-FR"/>
        </w:rPr>
        <w:t xml:space="preserve"> </w:t>
      </w:r>
      <w:r>
        <w:rPr>
          <w:lang w:val="fr-FR"/>
        </w:rPr>
        <w:t>A.</w:t>
      </w:r>
      <w:r w:rsidRPr="006B54C6">
        <w:rPr>
          <w:lang w:val="fr-FR"/>
        </w:rPr>
        <w:t xml:space="preserve"> </w:t>
      </w:r>
      <w:proofErr w:type="spellStart"/>
      <w:r>
        <w:rPr>
          <w:lang w:val="fr-FR"/>
        </w:rPr>
        <w:t>Friederich</w:t>
      </w:r>
      <w:proofErr w:type="spellEnd"/>
      <w:r w:rsidRPr="006B54C6">
        <w:rPr>
          <w:lang w:val="fr-FR"/>
        </w:rPr>
        <w:t xml:space="preserve">, avocat à </w:t>
      </w:r>
      <w:r>
        <w:rPr>
          <w:lang w:val="fr-FR"/>
        </w:rPr>
        <w:t>Strasbourg</w:t>
      </w:r>
      <w:r w:rsidRPr="006B54C6">
        <w:rPr>
          <w:lang w:val="fr-FR"/>
        </w:rPr>
        <w:t>.</w:t>
      </w:r>
    </w:p>
    <w:p w:rsidR="000D6569" w:rsidRPr="00905EBC" w:rsidRDefault="000D6569" w:rsidP="000D6569">
      <w:pPr>
        <w:pStyle w:val="ECHRPara"/>
        <w:rPr>
          <w:lang w:val="fr-FR"/>
        </w:rPr>
      </w:pPr>
      <w:r>
        <w:rPr>
          <w:lang w:val="fr-FR"/>
        </w:rPr>
        <w:t>2.  </w:t>
      </w:r>
      <w:r w:rsidRPr="00905EBC">
        <w:rPr>
          <w:lang w:val="fr-FR"/>
        </w:rPr>
        <w:t xml:space="preserve">Le gouvernement </w:t>
      </w:r>
      <w:r>
        <w:rPr>
          <w:lang w:val="fr-FR"/>
        </w:rPr>
        <w:t>italien</w:t>
      </w:r>
      <w:r w:rsidRPr="00905EBC">
        <w:rPr>
          <w:lang w:val="fr-FR"/>
        </w:rPr>
        <w:t xml:space="preserve"> (« le Gouvernement ») a été représenté par son agent, </w:t>
      </w:r>
      <w:r>
        <w:rPr>
          <w:lang w:val="fr-FR"/>
        </w:rPr>
        <w:t>M</w:t>
      </w:r>
      <w:r w:rsidRPr="00BF5DC1">
        <w:rPr>
          <w:vertAlign w:val="superscript"/>
          <w:lang w:val="fr-FR"/>
        </w:rPr>
        <w:t>me</w:t>
      </w:r>
      <w:r>
        <w:rPr>
          <w:lang w:val="fr-FR"/>
        </w:rPr>
        <w:t xml:space="preserve"> E. </w:t>
      </w:r>
      <w:proofErr w:type="spellStart"/>
      <w:r>
        <w:rPr>
          <w:lang w:val="fr-FR"/>
        </w:rPr>
        <w:t>Spatafora</w:t>
      </w:r>
      <w:proofErr w:type="spellEnd"/>
      <w:r w:rsidRPr="00905EBC">
        <w:rPr>
          <w:lang w:val="fr-FR"/>
        </w:rPr>
        <w:t xml:space="preserve">, </w:t>
      </w:r>
      <w:r>
        <w:rPr>
          <w:lang w:val="fr-FR"/>
        </w:rPr>
        <w:t xml:space="preserve">et par son </w:t>
      </w:r>
      <w:proofErr w:type="spellStart"/>
      <w:r>
        <w:rPr>
          <w:lang w:val="fr-FR"/>
        </w:rPr>
        <w:t>co</w:t>
      </w:r>
      <w:proofErr w:type="spellEnd"/>
      <w:r>
        <w:rPr>
          <w:lang w:val="fr-FR"/>
        </w:rPr>
        <w:t xml:space="preserve">-agent, M. G.M. </w:t>
      </w:r>
      <w:proofErr w:type="spellStart"/>
      <w:r>
        <w:rPr>
          <w:lang w:val="fr-FR"/>
        </w:rPr>
        <w:t>Pellegrini</w:t>
      </w:r>
      <w:proofErr w:type="spellEnd"/>
      <w:r w:rsidRPr="00905EBC">
        <w:rPr>
          <w:lang w:val="fr-FR"/>
        </w:rPr>
        <w:t>.</w:t>
      </w:r>
    </w:p>
    <w:p w:rsidR="000D6569" w:rsidRDefault="000D6569" w:rsidP="000D6569">
      <w:pPr>
        <w:pStyle w:val="ECHRPara"/>
        <w:rPr>
          <w:lang w:val="fr-FR"/>
        </w:rPr>
      </w:pPr>
      <w:r>
        <w:rPr>
          <w:lang w:val="fr-FR"/>
        </w:rPr>
        <w:t>3.  </w:t>
      </w:r>
      <w:r w:rsidRPr="00905EBC">
        <w:rPr>
          <w:lang w:val="fr-FR"/>
        </w:rPr>
        <w:t>Les faits de la cause, tels qu</w:t>
      </w:r>
      <w:r w:rsidR="00636A28">
        <w:rPr>
          <w:lang w:val="fr-FR"/>
        </w:rPr>
        <w:t>’</w:t>
      </w:r>
      <w:r w:rsidRPr="00905EBC">
        <w:rPr>
          <w:lang w:val="fr-FR"/>
        </w:rPr>
        <w:t>ils ont été exposés par les parties, peuvent se résumer comme suit.</w:t>
      </w:r>
    </w:p>
    <w:p w:rsidR="000D6569" w:rsidRPr="00905EBC" w:rsidRDefault="000D6569" w:rsidP="000D6569">
      <w:pPr>
        <w:pStyle w:val="ECHRPara"/>
        <w:rPr>
          <w:lang w:val="fr-FR"/>
        </w:rPr>
      </w:pPr>
      <w:bookmarkStart w:id="1" w:name="contrattovendita"/>
      <w:r>
        <w:rPr>
          <w:lang w:val="fr-FR"/>
        </w:rPr>
        <w:t>4</w:t>
      </w:r>
      <w:bookmarkEnd w:id="1"/>
      <w:r>
        <w:rPr>
          <w:lang w:val="fr-FR"/>
        </w:rPr>
        <w:t xml:space="preserve">.  Le 24 décembre 1982, la requérante acheta au prix de 20 000 000 lires (ITL – environ 10 329 euros (EUR)) un terrain « constructible dans les </w:t>
      </w:r>
      <w:r>
        <w:rPr>
          <w:lang w:val="fr-FR"/>
        </w:rPr>
        <w:lastRenderedPageBreak/>
        <w:t>limites des dispositions urbanistiques en vigueur », sis dans la commune de Sanremo et mesurant 979 mètres carrés (m²).</w:t>
      </w:r>
    </w:p>
    <w:p w:rsidR="000D6569" w:rsidRDefault="000D6569" w:rsidP="000D6569">
      <w:pPr>
        <w:pStyle w:val="ECHRPara"/>
        <w:rPr>
          <w:lang w:val="fr-FR"/>
        </w:rPr>
      </w:pPr>
      <w:bookmarkStart w:id="2" w:name="primarichiestapermesso"/>
      <w:r>
        <w:rPr>
          <w:lang w:val="fr-FR"/>
        </w:rPr>
        <w:t>5</w:t>
      </w:r>
      <w:bookmarkEnd w:id="2"/>
      <w:r>
        <w:rPr>
          <w:lang w:val="fr-FR"/>
        </w:rPr>
        <w:t>.   Le 5 décembre 1984, la requérante sollicita l</w:t>
      </w:r>
      <w:r w:rsidR="00636A28">
        <w:rPr>
          <w:lang w:val="fr-FR"/>
        </w:rPr>
        <w:t>’</w:t>
      </w:r>
      <w:r>
        <w:rPr>
          <w:lang w:val="fr-FR"/>
        </w:rPr>
        <w:t>octroi d</w:t>
      </w:r>
      <w:r w:rsidR="00636A28">
        <w:rPr>
          <w:lang w:val="fr-FR"/>
        </w:rPr>
        <w:t>’</w:t>
      </w:r>
      <w:r>
        <w:rPr>
          <w:lang w:val="fr-FR"/>
        </w:rPr>
        <w:t>un permis de construire sur ledit terrain un centre commercial, incluant des bureaux et des parkings.</w:t>
      </w:r>
    </w:p>
    <w:p w:rsidR="000D6569" w:rsidRDefault="000D6569" w:rsidP="000D6569">
      <w:pPr>
        <w:pStyle w:val="ECHRPara"/>
        <w:rPr>
          <w:lang w:val="fr-FR"/>
        </w:rPr>
      </w:pPr>
      <w:bookmarkStart w:id="3" w:name="primorigetto"/>
      <w:r>
        <w:rPr>
          <w:lang w:val="fr-FR"/>
        </w:rPr>
        <w:t>6</w:t>
      </w:r>
      <w:bookmarkEnd w:id="3"/>
      <w:r>
        <w:rPr>
          <w:lang w:val="fr-FR"/>
        </w:rPr>
        <w:t>.  Par un arrêté du 16 octobre 1985, la municipalité de Sanremo rejeta la demande de la requérante au motif que le permis n</w:t>
      </w:r>
      <w:r w:rsidR="00636A28">
        <w:rPr>
          <w:lang w:val="fr-FR"/>
        </w:rPr>
        <w:t>’</w:t>
      </w:r>
      <w:r>
        <w:rPr>
          <w:lang w:val="fr-FR"/>
        </w:rPr>
        <w:t>était pas conforme aux dispositions de la loi régionale n</w:t>
      </w:r>
      <w:r w:rsidRPr="000D6569">
        <w:rPr>
          <w:vertAlign w:val="superscript"/>
          <w:lang w:val="fr-FR"/>
        </w:rPr>
        <w:t>o</w:t>
      </w:r>
      <w:r>
        <w:rPr>
          <w:lang w:val="fr-FR"/>
        </w:rPr>
        <w:t xml:space="preserve"> 28 de 1976, intitulée « règles en matière d</w:t>
      </w:r>
      <w:r w:rsidR="00636A28">
        <w:rPr>
          <w:lang w:val="fr-FR"/>
        </w:rPr>
        <w:t>’</w:t>
      </w:r>
      <w:r>
        <w:rPr>
          <w:lang w:val="fr-FR"/>
        </w:rPr>
        <w:t>instruments urbanistiques d</w:t>
      </w:r>
      <w:r w:rsidR="00636A28">
        <w:rPr>
          <w:lang w:val="fr-FR"/>
        </w:rPr>
        <w:t>’</w:t>
      </w:r>
      <w:r>
        <w:rPr>
          <w:lang w:val="fr-FR"/>
        </w:rPr>
        <w:t>exécution et obligations d</w:t>
      </w:r>
      <w:r w:rsidR="00636A28">
        <w:rPr>
          <w:lang w:val="fr-FR"/>
        </w:rPr>
        <w:t>’</w:t>
      </w:r>
      <w:r>
        <w:rPr>
          <w:lang w:val="fr-FR"/>
        </w:rPr>
        <w:t>urbanisation ».</w:t>
      </w:r>
    </w:p>
    <w:p w:rsidR="000D6569" w:rsidRDefault="000D6569" w:rsidP="000D6569">
      <w:pPr>
        <w:pStyle w:val="ECHRPara"/>
        <w:rPr>
          <w:lang w:val="fr-FR"/>
        </w:rPr>
      </w:pPr>
      <w:bookmarkStart w:id="4" w:name="secondorigetto"/>
      <w:r>
        <w:rPr>
          <w:lang w:val="fr-FR"/>
        </w:rPr>
        <w:t>7</w:t>
      </w:r>
      <w:bookmarkEnd w:id="4"/>
      <w:r>
        <w:rPr>
          <w:lang w:val="fr-FR"/>
        </w:rPr>
        <w:t>.  La requérante réitéra sa demande sur la base d</w:t>
      </w:r>
      <w:r w:rsidR="00636A28">
        <w:rPr>
          <w:lang w:val="fr-FR"/>
        </w:rPr>
        <w:t>’</w:t>
      </w:r>
      <w:r>
        <w:rPr>
          <w:lang w:val="fr-FR"/>
        </w:rPr>
        <w:t>un nouveau projet. Par un arrêté du 10 septembre 1988, la municipalité opposa un deuxième rejet, motivé par les difficultés d</w:t>
      </w:r>
      <w:r w:rsidR="00636A28">
        <w:rPr>
          <w:lang w:val="fr-FR"/>
        </w:rPr>
        <w:t>’</w:t>
      </w:r>
      <w:r>
        <w:rPr>
          <w:lang w:val="fr-FR"/>
        </w:rPr>
        <w:t>accessibilité du complexe immobilier.</w:t>
      </w:r>
    </w:p>
    <w:p w:rsidR="000D6569" w:rsidRDefault="000D6569" w:rsidP="000D6569">
      <w:pPr>
        <w:pStyle w:val="ECHRPara"/>
        <w:rPr>
          <w:lang w:val="fr-FR"/>
        </w:rPr>
      </w:pPr>
      <w:bookmarkStart w:id="5" w:name="terzadomanda"/>
      <w:r>
        <w:rPr>
          <w:lang w:val="fr-FR"/>
        </w:rPr>
        <w:t>8</w:t>
      </w:r>
      <w:bookmarkEnd w:id="5"/>
      <w:r>
        <w:rPr>
          <w:lang w:val="fr-FR"/>
        </w:rPr>
        <w:t>.  </w:t>
      </w:r>
      <w:r>
        <w:rPr>
          <w:rFonts w:cstheme="minorHAnsi"/>
          <w:lang w:val="fr-FR"/>
        </w:rPr>
        <w:t>À</w:t>
      </w:r>
      <w:r>
        <w:rPr>
          <w:lang w:val="fr-FR"/>
        </w:rPr>
        <w:t xml:space="preserve"> une date non précisée, la requérante présenta une troisième demande de permis de construire. Elle apporta à son projet les modifications et intégrations sollicitées par la commission pour la construction (</w:t>
      </w:r>
      <w:proofErr w:type="spellStart"/>
      <w:r>
        <w:rPr>
          <w:i/>
          <w:lang w:val="fr-FR"/>
        </w:rPr>
        <w:t>commissione</w:t>
      </w:r>
      <w:proofErr w:type="spellEnd"/>
      <w:r>
        <w:rPr>
          <w:i/>
          <w:lang w:val="fr-FR"/>
        </w:rPr>
        <w:t xml:space="preserve"> </w:t>
      </w:r>
      <w:proofErr w:type="spellStart"/>
      <w:r>
        <w:rPr>
          <w:i/>
          <w:lang w:val="fr-FR"/>
        </w:rPr>
        <w:t>edilizia</w:t>
      </w:r>
      <w:proofErr w:type="spellEnd"/>
      <w:r>
        <w:rPr>
          <w:lang w:val="fr-FR"/>
        </w:rPr>
        <w:t>) de la municipalité.</w:t>
      </w:r>
    </w:p>
    <w:p w:rsidR="000D6569" w:rsidRDefault="000D6569" w:rsidP="000D6569">
      <w:pPr>
        <w:pStyle w:val="ECHRPara"/>
        <w:rPr>
          <w:lang w:val="fr-FR"/>
        </w:rPr>
      </w:pPr>
      <w:bookmarkStart w:id="6" w:name="terzorifiuto"/>
      <w:r>
        <w:rPr>
          <w:lang w:val="fr-FR"/>
        </w:rPr>
        <w:t>9</w:t>
      </w:r>
      <w:bookmarkEnd w:id="6"/>
      <w:r>
        <w:rPr>
          <w:lang w:val="fr-FR"/>
        </w:rPr>
        <w:t>.  Par un arrêté du 17 mai 1990, la municipalité rejeta encore une fois la demande de permis de construire, indiquant que la documentation était incomplète.</w:t>
      </w:r>
    </w:p>
    <w:p w:rsidR="000D6569" w:rsidRDefault="000D6569" w:rsidP="000D6569">
      <w:pPr>
        <w:pStyle w:val="ECHRPara"/>
        <w:rPr>
          <w:lang w:val="fr-FR"/>
        </w:rPr>
      </w:pPr>
      <w:bookmarkStart w:id="7" w:name="primoricorsoTAR"/>
      <w:r>
        <w:rPr>
          <w:lang w:val="fr-FR"/>
        </w:rPr>
        <w:t>10</w:t>
      </w:r>
      <w:bookmarkEnd w:id="7"/>
      <w:r>
        <w:rPr>
          <w:lang w:val="fr-FR"/>
        </w:rPr>
        <w:t>.  Le 25 septembre 1990, la requérante introduisit un recours devant le tribunal administratif régional (ci-après, le « TAR ») de la Ligurie afin d</w:t>
      </w:r>
      <w:r w:rsidR="00636A28">
        <w:rPr>
          <w:lang w:val="fr-FR"/>
        </w:rPr>
        <w:t>’</w:t>
      </w:r>
      <w:r>
        <w:rPr>
          <w:lang w:val="fr-FR"/>
        </w:rPr>
        <w:t>obtenir l</w:t>
      </w:r>
      <w:r w:rsidR="00636A28">
        <w:rPr>
          <w:lang w:val="fr-FR"/>
        </w:rPr>
        <w:t>’</w:t>
      </w:r>
      <w:r>
        <w:rPr>
          <w:lang w:val="fr-FR"/>
        </w:rPr>
        <w:t>annulation de l</w:t>
      </w:r>
      <w:r w:rsidR="00636A28">
        <w:rPr>
          <w:lang w:val="fr-FR"/>
        </w:rPr>
        <w:t>’</w:t>
      </w:r>
      <w:r>
        <w:rPr>
          <w:lang w:val="fr-FR"/>
        </w:rPr>
        <w:t>arrêté du 17 mai 1990.</w:t>
      </w:r>
    </w:p>
    <w:p w:rsidR="000D6569" w:rsidRDefault="000D6569" w:rsidP="000D6569">
      <w:pPr>
        <w:pStyle w:val="ECHRPara"/>
        <w:rPr>
          <w:lang w:val="fr-FR"/>
        </w:rPr>
      </w:pPr>
      <w:bookmarkStart w:id="8" w:name="sentenzaTAR17121992a"/>
      <w:r>
        <w:rPr>
          <w:lang w:val="fr-FR"/>
        </w:rPr>
        <w:t>11</w:t>
      </w:r>
      <w:bookmarkEnd w:id="8"/>
      <w:r>
        <w:rPr>
          <w:lang w:val="fr-FR"/>
        </w:rPr>
        <w:t>.  Par un jugement du 17 décembre 1992, dont le texte fut déposé au greffe le 21 avril 1994, le TAR annula l</w:t>
      </w:r>
      <w:r w:rsidR="00636A28">
        <w:rPr>
          <w:lang w:val="fr-FR"/>
        </w:rPr>
        <w:t>’</w:t>
      </w:r>
      <w:r>
        <w:rPr>
          <w:lang w:val="fr-FR"/>
        </w:rPr>
        <w:t>arrêté litigieux et ordonna aux autorités administratives de donner exécution à sa décision.</w:t>
      </w:r>
    </w:p>
    <w:p w:rsidR="000D6569" w:rsidRDefault="000D6569" w:rsidP="000D6569">
      <w:pPr>
        <w:pStyle w:val="ECHRPara"/>
        <w:rPr>
          <w:lang w:val="fr-FR"/>
        </w:rPr>
      </w:pPr>
      <w:bookmarkStart w:id="9" w:name="sentenzaTAR17121992b"/>
      <w:r>
        <w:rPr>
          <w:lang w:val="fr-FR"/>
        </w:rPr>
        <w:t>12</w:t>
      </w:r>
      <w:bookmarkEnd w:id="9"/>
      <w:r>
        <w:rPr>
          <w:lang w:val="fr-FR"/>
        </w:rPr>
        <w:t>.  Le TAR observa notamment que le rejet se fondait uniquement sur l</w:t>
      </w:r>
      <w:r w:rsidR="00636A28">
        <w:rPr>
          <w:lang w:val="fr-FR"/>
        </w:rPr>
        <w:t>’</w:t>
      </w:r>
      <w:r>
        <w:rPr>
          <w:lang w:val="fr-FR"/>
        </w:rPr>
        <w:t>affirmation selon laquelle la requérante n</w:t>
      </w:r>
      <w:r w:rsidR="00636A28">
        <w:rPr>
          <w:lang w:val="fr-FR"/>
        </w:rPr>
        <w:t>’</w:t>
      </w:r>
      <w:r>
        <w:rPr>
          <w:lang w:val="fr-FR"/>
        </w:rPr>
        <w:t>avait pas donné suite aux demandes d</w:t>
      </w:r>
      <w:r w:rsidR="00636A28">
        <w:rPr>
          <w:lang w:val="fr-FR"/>
        </w:rPr>
        <w:t>’</w:t>
      </w:r>
      <w:r>
        <w:rPr>
          <w:lang w:val="fr-FR"/>
        </w:rPr>
        <w:t>instruction faites par la municipalité le 20 décembre 1989. Cependant, il ressortait du dossier que le 29 mars 1990, la requérante avait déposé les documents sollicités.</w:t>
      </w:r>
    </w:p>
    <w:p w:rsidR="000D6569" w:rsidRDefault="000D6569" w:rsidP="000D6569">
      <w:pPr>
        <w:pStyle w:val="ECHRPara"/>
        <w:rPr>
          <w:lang w:val="fr-FR"/>
        </w:rPr>
      </w:pPr>
      <w:r>
        <w:rPr>
          <w:lang w:val="fr-FR"/>
        </w:rPr>
        <w:t>13.  La municipalité n</w:t>
      </w:r>
      <w:r w:rsidR="00636A28">
        <w:rPr>
          <w:lang w:val="fr-FR"/>
        </w:rPr>
        <w:t>’</w:t>
      </w:r>
      <w:r>
        <w:rPr>
          <w:lang w:val="fr-FR"/>
        </w:rPr>
        <w:t>ayant pas interjeté appel, ce jugement devint définitif.</w:t>
      </w:r>
    </w:p>
    <w:p w:rsidR="000D6569" w:rsidRDefault="000D6569" w:rsidP="000D6569">
      <w:pPr>
        <w:pStyle w:val="ECHRPara"/>
        <w:rPr>
          <w:lang w:val="fr-FR"/>
        </w:rPr>
      </w:pPr>
      <w:r>
        <w:rPr>
          <w:lang w:val="fr-FR"/>
        </w:rPr>
        <w:t>14.  Le 27 mai 1994, la requérante enjoignit à la municipalité de se conformer au jugement du TAR en délivrant le permis de construire litigieux.</w:t>
      </w:r>
    </w:p>
    <w:p w:rsidR="000D6569" w:rsidRDefault="000D6569" w:rsidP="000D6569">
      <w:pPr>
        <w:pStyle w:val="ECHRPara"/>
        <w:rPr>
          <w:lang w:val="fr-FR"/>
        </w:rPr>
      </w:pPr>
      <w:bookmarkStart w:id="10" w:name="rifiutopermesso2971994"/>
      <w:r>
        <w:rPr>
          <w:lang w:val="fr-FR"/>
        </w:rPr>
        <w:t>15</w:t>
      </w:r>
      <w:bookmarkEnd w:id="10"/>
      <w:r>
        <w:rPr>
          <w:lang w:val="fr-FR"/>
        </w:rPr>
        <w:t>.  Par un arrêté du 29 juillet 1994, la municipalité refusa de délivrer le permis au motif qu</w:t>
      </w:r>
      <w:r w:rsidR="00636A28">
        <w:rPr>
          <w:lang w:val="fr-FR"/>
        </w:rPr>
        <w:t>’</w:t>
      </w:r>
      <w:r>
        <w:rPr>
          <w:lang w:val="fr-FR"/>
        </w:rPr>
        <w:t>il était contraire au Plan général d</w:t>
      </w:r>
      <w:r w:rsidR="00636A28">
        <w:rPr>
          <w:lang w:val="fr-FR"/>
        </w:rPr>
        <w:t>’</w:t>
      </w:r>
      <w:r>
        <w:rPr>
          <w:lang w:val="fr-FR"/>
        </w:rPr>
        <w:t>urbanisme (</w:t>
      </w:r>
      <w:r>
        <w:rPr>
          <w:i/>
          <w:lang w:val="fr-FR"/>
        </w:rPr>
        <w:t xml:space="preserve">Piano </w:t>
      </w:r>
      <w:proofErr w:type="spellStart"/>
      <w:r>
        <w:rPr>
          <w:i/>
          <w:lang w:val="fr-FR"/>
        </w:rPr>
        <w:t>regolatore</w:t>
      </w:r>
      <w:proofErr w:type="spellEnd"/>
      <w:r>
        <w:rPr>
          <w:i/>
          <w:lang w:val="fr-FR"/>
        </w:rPr>
        <w:t xml:space="preserve"> </w:t>
      </w:r>
      <w:proofErr w:type="spellStart"/>
      <w:r>
        <w:rPr>
          <w:i/>
          <w:lang w:val="fr-FR"/>
        </w:rPr>
        <w:t>generale</w:t>
      </w:r>
      <w:proofErr w:type="spellEnd"/>
      <w:r>
        <w:rPr>
          <w:lang w:val="fr-FR"/>
        </w:rPr>
        <w:t>, ci-après, le « PRG »), et qu</w:t>
      </w:r>
      <w:r w:rsidR="00636A28">
        <w:rPr>
          <w:lang w:val="fr-FR"/>
        </w:rPr>
        <w:t>’</w:t>
      </w:r>
      <w:r>
        <w:rPr>
          <w:lang w:val="fr-FR"/>
        </w:rPr>
        <w:t xml:space="preserve">aucun plan détaillé et </w:t>
      </w:r>
      <w:proofErr w:type="gramStart"/>
      <w:r>
        <w:rPr>
          <w:lang w:val="fr-FR"/>
        </w:rPr>
        <w:t>spécifique</w:t>
      </w:r>
      <w:proofErr w:type="gramEnd"/>
      <w:r>
        <w:rPr>
          <w:lang w:val="fr-FR"/>
        </w:rPr>
        <w:t xml:space="preserve"> n</w:t>
      </w:r>
      <w:r w:rsidR="00636A28">
        <w:rPr>
          <w:lang w:val="fr-FR"/>
        </w:rPr>
        <w:t>’</w:t>
      </w:r>
      <w:r>
        <w:rPr>
          <w:lang w:val="fr-FR"/>
        </w:rPr>
        <w:t>existait pour la zone où se trouvait le terrain de la requérante.</w:t>
      </w:r>
    </w:p>
    <w:p w:rsidR="000D6569" w:rsidRPr="00A27794" w:rsidRDefault="000D6569" w:rsidP="000D6569">
      <w:pPr>
        <w:pStyle w:val="ECHRPara"/>
        <w:rPr>
          <w:lang w:val="fr-FR"/>
        </w:rPr>
      </w:pPr>
      <w:r>
        <w:rPr>
          <w:lang w:val="fr-FR"/>
        </w:rPr>
        <w:t>16.  La requérante introduisit un deuxième recours en annulation devant le TAR.</w:t>
      </w:r>
    </w:p>
    <w:p w:rsidR="000D6569" w:rsidRDefault="000D6569" w:rsidP="000D6569">
      <w:pPr>
        <w:pStyle w:val="ECHRPara"/>
        <w:rPr>
          <w:lang w:val="fr-FR"/>
        </w:rPr>
      </w:pPr>
      <w:bookmarkStart w:id="11" w:name="sentenzaTAR10121999a"/>
      <w:r>
        <w:rPr>
          <w:lang w:val="fr-FR"/>
        </w:rPr>
        <w:t>17</w:t>
      </w:r>
      <w:bookmarkEnd w:id="11"/>
      <w:r>
        <w:rPr>
          <w:lang w:val="fr-FR"/>
        </w:rPr>
        <w:t>.  Par un jugement du 10 décembre 1999, dont le texte fut déposé au greffe le 3 mars 2000, le TAR annula l</w:t>
      </w:r>
      <w:r w:rsidR="00636A28">
        <w:rPr>
          <w:lang w:val="fr-FR"/>
        </w:rPr>
        <w:t>’</w:t>
      </w:r>
      <w:r>
        <w:rPr>
          <w:lang w:val="fr-FR"/>
        </w:rPr>
        <w:t>arrêté du 29 juillet 1994 et ordonna aux autorités administratives de donner exécution à sa décision.</w:t>
      </w:r>
    </w:p>
    <w:p w:rsidR="000D6569" w:rsidRDefault="000D6569" w:rsidP="000D6569">
      <w:pPr>
        <w:pStyle w:val="ECHRPara"/>
        <w:rPr>
          <w:lang w:val="fr-FR"/>
        </w:rPr>
      </w:pPr>
      <w:bookmarkStart w:id="12" w:name="sentenzaTAR10121999b"/>
      <w:r>
        <w:rPr>
          <w:lang w:val="fr-FR"/>
        </w:rPr>
        <w:lastRenderedPageBreak/>
        <w:t>18</w:t>
      </w:r>
      <w:bookmarkEnd w:id="12"/>
      <w:r>
        <w:rPr>
          <w:lang w:val="fr-FR"/>
        </w:rPr>
        <w:t>.  Le TAR observa que toute décision de rejet d</w:t>
      </w:r>
      <w:r w:rsidR="00636A28">
        <w:rPr>
          <w:lang w:val="fr-FR"/>
        </w:rPr>
        <w:t>’</w:t>
      </w:r>
      <w:r>
        <w:rPr>
          <w:lang w:val="fr-FR"/>
        </w:rPr>
        <w:t>un permis de construire s</w:t>
      </w:r>
      <w:r w:rsidR="00636A28">
        <w:rPr>
          <w:lang w:val="fr-FR"/>
        </w:rPr>
        <w:t>’</w:t>
      </w:r>
      <w:r>
        <w:rPr>
          <w:lang w:val="fr-FR"/>
        </w:rPr>
        <w:t>analysait en une limitation du droit du propriétaire de bâtir sur son terrain (</w:t>
      </w:r>
      <w:r>
        <w:rPr>
          <w:i/>
          <w:lang w:val="fr-FR"/>
        </w:rPr>
        <w:t>jus aedificandi</w:t>
      </w:r>
      <w:r>
        <w:rPr>
          <w:lang w:val="fr-FR"/>
        </w:rPr>
        <w:t>). Dès lors, elle devait indiquer les raisons qui empêchaient l</w:t>
      </w:r>
      <w:r w:rsidR="00636A28">
        <w:rPr>
          <w:lang w:val="fr-FR"/>
        </w:rPr>
        <w:t>’</w:t>
      </w:r>
      <w:r>
        <w:rPr>
          <w:lang w:val="fr-FR"/>
        </w:rPr>
        <w:t>octroi de l</w:t>
      </w:r>
      <w:r w:rsidR="00636A28">
        <w:rPr>
          <w:lang w:val="fr-FR"/>
        </w:rPr>
        <w:t>’</w:t>
      </w:r>
      <w:r>
        <w:rPr>
          <w:lang w:val="fr-FR"/>
        </w:rPr>
        <w:t>autorisation, ainsi que les dispositions et/ou les données techniques auxquelles le projet de construction se heurtait. Tel n</w:t>
      </w:r>
      <w:r w:rsidR="00636A28">
        <w:rPr>
          <w:lang w:val="fr-FR"/>
        </w:rPr>
        <w:t>’</w:t>
      </w:r>
      <w:r>
        <w:rPr>
          <w:lang w:val="fr-FR"/>
        </w:rPr>
        <w:t>était pas le cas en ce qui concernait l</w:t>
      </w:r>
      <w:r w:rsidR="00636A28">
        <w:rPr>
          <w:lang w:val="fr-FR"/>
        </w:rPr>
        <w:t>’</w:t>
      </w:r>
      <w:r>
        <w:rPr>
          <w:lang w:val="fr-FR"/>
        </w:rPr>
        <w:t>arrêté du 29 juillet 1994. En effet, le projet de la requérante, qui prévoyait des locaux commerciaux et des parkings en sous-sol, était conforme au PRG. Les dimensions et la complexité de la structure que la requérante souhaitait bâtir n</w:t>
      </w:r>
      <w:r w:rsidR="00636A28">
        <w:rPr>
          <w:lang w:val="fr-FR"/>
        </w:rPr>
        <w:t>’</w:t>
      </w:r>
      <w:r>
        <w:rPr>
          <w:lang w:val="fr-FR"/>
        </w:rPr>
        <w:t>étaient pas des raisons valables pour refuser le permis de construire. Enfin, la commune n</w:t>
      </w:r>
      <w:r w:rsidR="00636A28">
        <w:rPr>
          <w:lang w:val="fr-FR"/>
        </w:rPr>
        <w:t>’</w:t>
      </w:r>
      <w:r>
        <w:rPr>
          <w:lang w:val="fr-FR"/>
        </w:rPr>
        <w:t>avait pas démontré que la structure aurait eu un impact négatif sur le territoire, et aucun plan détaillé n</w:t>
      </w:r>
      <w:r w:rsidR="00636A28">
        <w:rPr>
          <w:lang w:val="fr-FR"/>
        </w:rPr>
        <w:t>’</w:t>
      </w:r>
      <w:r>
        <w:rPr>
          <w:lang w:val="fr-FR"/>
        </w:rPr>
        <w:t>était nécessaire.</w:t>
      </w:r>
    </w:p>
    <w:p w:rsidR="000D6569" w:rsidRDefault="000D6569" w:rsidP="000D6569">
      <w:pPr>
        <w:pStyle w:val="ECHRPara"/>
        <w:rPr>
          <w:lang w:val="fr-FR"/>
        </w:rPr>
      </w:pPr>
      <w:r>
        <w:rPr>
          <w:lang w:val="fr-FR"/>
        </w:rPr>
        <w:t>19.  La municipalité n</w:t>
      </w:r>
      <w:r w:rsidR="00636A28">
        <w:rPr>
          <w:lang w:val="fr-FR"/>
        </w:rPr>
        <w:t>’</w:t>
      </w:r>
      <w:r>
        <w:rPr>
          <w:lang w:val="fr-FR"/>
        </w:rPr>
        <w:t>ayant pas interjeté appel, ce jugement devint définitif.</w:t>
      </w:r>
    </w:p>
    <w:p w:rsidR="000D6569" w:rsidRDefault="000D6569" w:rsidP="000D6569">
      <w:pPr>
        <w:pStyle w:val="ECHRPara"/>
        <w:rPr>
          <w:lang w:val="fr-FR"/>
        </w:rPr>
      </w:pPr>
      <w:bookmarkStart w:id="13" w:name="concessionepermesso21112001"/>
      <w:r>
        <w:rPr>
          <w:lang w:val="fr-FR"/>
        </w:rPr>
        <w:t>20</w:t>
      </w:r>
      <w:bookmarkEnd w:id="13"/>
      <w:r>
        <w:rPr>
          <w:lang w:val="fr-FR"/>
        </w:rPr>
        <w:t>.  Le 21 novembre 2001, la municipalité de Sanremo se déclara prête à délivrer le permis de construire que la requérante sollicitait. L</w:t>
      </w:r>
      <w:r w:rsidR="00636A28">
        <w:rPr>
          <w:lang w:val="fr-FR"/>
        </w:rPr>
        <w:t>’</w:t>
      </w:r>
      <w:r>
        <w:rPr>
          <w:lang w:val="fr-FR"/>
        </w:rPr>
        <w:t>intéressée n</w:t>
      </w:r>
      <w:r w:rsidR="00636A28">
        <w:rPr>
          <w:lang w:val="fr-FR"/>
        </w:rPr>
        <w:t>’</w:t>
      </w:r>
      <w:r>
        <w:rPr>
          <w:lang w:val="fr-FR"/>
        </w:rPr>
        <w:t>insista cependant pas dans sa demande et n</w:t>
      </w:r>
      <w:r w:rsidR="00636A28">
        <w:rPr>
          <w:lang w:val="fr-FR"/>
        </w:rPr>
        <w:t>’</w:t>
      </w:r>
      <w:r>
        <w:rPr>
          <w:lang w:val="fr-FR"/>
        </w:rPr>
        <w:t>accomplit pas les formalités administratives nécessaires pour obtenir le permis.</w:t>
      </w:r>
    </w:p>
    <w:p w:rsidR="000D6569" w:rsidRDefault="000D6569" w:rsidP="000D6569">
      <w:pPr>
        <w:pStyle w:val="ECHRPara"/>
        <w:rPr>
          <w:lang w:val="fr-FR"/>
        </w:rPr>
      </w:pPr>
      <w:bookmarkStart w:id="14" w:name="recoursindemnitaire"/>
      <w:r>
        <w:rPr>
          <w:lang w:val="fr-FR"/>
        </w:rPr>
        <w:t>21</w:t>
      </w:r>
      <w:bookmarkEnd w:id="14"/>
      <w:r>
        <w:rPr>
          <w:lang w:val="fr-FR"/>
        </w:rPr>
        <w:t>.  En 2003, la requérante saisit le TAR d</w:t>
      </w:r>
      <w:r w:rsidR="00636A28">
        <w:rPr>
          <w:lang w:val="fr-FR"/>
        </w:rPr>
        <w:t>’</w:t>
      </w:r>
      <w:r>
        <w:rPr>
          <w:lang w:val="fr-FR"/>
        </w:rPr>
        <w:t>un recours en dédommagement. Elle allégua que le rejet réitéré et, selon elle, infondé de ses demandes de permis de construire lui avait causé un préjudice financier important, qu</w:t>
      </w:r>
      <w:r w:rsidR="00636A28">
        <w:rPr>
          <w:lang w:val="fr-FR"/>
        </w:rPr>
        <w:t>’</w:t>
      </w:r>
      <w:r>
        <w:rPr>
          <w:lang w:val="fr-FR"/>
        </w:rPr>
        <w:t>elle chiffrait à hauteur de 7 466 706,12 euros (EUR).</w:t>
      </w:r>
    </w:p>
    <w:p w:rsidR="000D6569" w:rsidRDefault="000D6569" w:rsidP="000D6569">
      <w:pPr>
        <w:pStyle w:val="ECHRPara"/>
        <w:rPr>
          <w:lang w:val="fr-FR"/>
        </w:rPr>
      </w:pPr>
      <w:r>
        <w:rPr>
          <w:lang w:val="fr-FR"/>
        </w:rPr>
        <w:t>22.  Par un jugement du 9 mars 2006, dont le texte fut déposé au greffe le 21 avril 2006, le TAR de la Ligurie accueillit partiellement la demande de la requérante et ordonna à la municipalité de Sanremo d</w:t>
      </w:r>
      <w:r w:rsidR="00636A28">
        <w:rPr>
          <w:lang w:val="fr-FR"/>
        </w:rPr>
        <w:t>’</w:t>
      </w:r>
      <w:r>
        <w:rPr>
          <w:lang w:val="fr-FR"/>
        </w:rPr>
        <w:t>adopter les actes nécessaires dans un délai de 60 jours.</w:t>
      </w:r>
    </w:p>
    <w:p w:rsidR="000D6569" w:rsidRDefault="000D6569" w:rsidP="000D6569">
      <w:pPr>
        <w:pStyle w:val="ECHRPara"/>
        <w:rPr>
          <w:lang w:val="fr-FR"/>
        </w:rPr>
      </w:pPr>
      <w:r>
        <w:rPr>
          <w:lang w:val="fr-FR"/>
        </w:rPr>
        <w:t>23.  Le TAR considéra que la demande de la requérante était recevable dans la mesure où elle concernait la période allant de 1994 à 2000, pendant laquelle la municipalité avait illégitimement et de manière fautive refusé d</w:t>
      </w:r>
      <w:r w:rsidR="00636A28">
        <w:rPr>
          <w:lang w:val="fr-FR"/>
        </w:rPr>
        <w:t>’</w:t>
      </w:r>
      <w:r>
        <w:rPr>
          <w:lang w:val="fr-FR"/>
        </w:rPr>
        <w:t>octroyer le permis de construire auquel la requérante avait droit. Il indiqua que le montant du dédommagement devait être fixé ultérieurement.</w:t>
      </w:r>
    </w:p>
    <w:p w:rsidR="000D6569" w:rsidRDefault="000D6569" w:rsidP="000D6569">
      <w:pPr>
        <w:pStyle w:val="ECHRPara"/>
        <w:rPr>
          <w:lang w:val="fr-FR"/>
        </w:rPr>
      </w:pPr>
      <w:r>
        <w:rPr>
          <w:lang w:val="fr-FR"/>
        </w:rPr>
        <w:t>24.  La requérante et la municipalité de Sanremo interjetèrent appel.</w:t>
      </w:r>
    </w:p>
    <w:p w:rsidR="000D6569" w:rsidRDefault="000D6569" w:rsidP="000D6569">
      <w:pPr>
        <w:pStyle w:val="ECHRPara"/>
        <w:rPr>
          <w:lang w:val="fr-FR"/>
        </w:rPr>
      </w:pPr>
      <w:bookmarkStart w:id="15" w:name="decisioneConsiglioStato2012009a"/>
      <w:r>
        <w:rPr>
          <w:lang w:val="fr-FR"/>
        </w:rPr>
        <w:t>25</w:t>
      </w:r>
      <w:bookmarkEnd w:id="15"/>
      <w:r>
        <w:rPr>
          <w:lang w:val="fr-FR"/>
        </w:rPr>
        <w:t>.  Par une décision du 20 janvier 2009, dont le texte fut déposé au greffe le 21 avril 2009, le Conseil d</w:t>
      </w:r>
      <w:r w:rsidR="00636A28">
        <w:rPr>
          <w:lang w:val="fr-FR"/>
        </w:rPr>
        <w:t>’</w:t>
      </w:r>
      <w:r>
        <w:rPr>
          <w:lang w:val="fr-FR"/>
        </w:rPr>
        <w:t>État accueillit l</w:t>
      </w:r>
      <w:r w:rsidR="00636A28">
        <w:rPr>
          <w:lang w:val="fr-FR"/>
        </w:rPr>
        <w:t>’</w:t>
      </w:r>
      <w:r>
        <w:rPr>
          <w:lang w:val="fr-FR"/>
        </w:rPr>
        <w:t>appel de la municipalité et rejeta le recours de la requérante.</w:t>
      </w:r>
    </w:p>
    <w:p w:rsidR="000D6569" w:rsidRDefault="000D6569" w:rsidP="000D6569">
      <w:pPr>
        <w:pStyle w:val="ECHRPara"/>
        <w:rPr>
          <w:lang w:val="fr-FR"/>
        </w:rPr>
      </w:pPr>
      <w:bookmarkStart w:id="16" w:name="decisioneConsiglioStato2012009bart24"/>
      <w:r>
        <w:rPr>
          <w:lang w:val="fr-FR"/>
        </w:rPr>
        <w:t>26</w:t>
      </w:r>
      <w:bookmarkEnd w:id="16"/>
      <w:r>
        <w:rPr>
          <w:lang w:val="fr-FR"/>
        </w:rPr>
        <w:t>.  Le Conseil d</w:t>
      </w:r>
      <w:r w:rsidR="00636A28">
        <w:rPr>
          <w:lang w:val="fr-FR"/>
        </w:rPr>
        <w:t>’</w:t>
      </w:r>
      <w:r>
        <w:rPr>
          <w:lang w:val="fr-FR"/>
        </w:rPr>
        <w:t>État observa que le projet de la requérante prévoyait la construction d</w:t>
      </w:r>
      <w:r w:rsidR="00636A28">
        <w:rPr>
          <w:lang w:val="fr-FR"/>
        </w:rPr>
        <w:t>’</w:t>
      </w:r>
      <w:r>
        <w:rPr>
          <w:lang w:val="fr-FR"/>
        </w:rPr>
        <w:t>un bâtiment en sous-sol de sept étages, dont cinq pour usage commercial et pour des bureaux (d</w:t>
      </w:r>
      <w:r w:rsidR="00636A28">
        <w:rPr>
          <w:lang w:val="fr-FR"/>
        </w:rPr>
        <w:t>’</w:t>
      </w:r>
      <w:r>
        <w:rPr>
          <w:lang w:val="fr-FR"/>
        </w:rPr>
        <w:t>une superficie de 3 825 m²), et deux pour des parkings (d</w:t>
      </w:r>
      <w:r w:rsidR="00636A28">
        <w:rPr>
          <w:lang w:val="fr-FR"/>
        </w:rPr>
        <w:t>’</w:t>
      </w:r>
      <w:r>
        <w:rPr>
          <w:lang w:val="fr-FR"/>
        </w:rPr>
        <w:t xml:space="preserve">une superficie de 1 650 m²). La hauteur était de 23 mètres et la volumétrie totale de 18 000 mètres </w:t>
      </w:r>
      <w:proofErr w:type="gramStart"/>
      <w:r>
        <w:rPr>
          <w:lang w:val="fr-FR"/>
        </w:rPr>
        <w:t>cubes</w:t>
      </w:r>
      <w:proofErr w:type="gramEnd"/>
      <w:r>
        <w:rPr>
          <w:lang w:val="fr-FR"/>
        </w:rPr>
        <w:t xml:space="preserve"> (m</w:t>
      </w:r>
      <w:r w:rsidRPr="00F47819">
        <w:rPr>
          <w:vertAlign w:val="superscript"/>
          <w:lang w:val="fr-FR"/>
        </w:rPr>
        <w:t>3</w:t>
      </w:r>
      <w:r>
        <w:rPr>
          <w:lang w:val="fr-FR"/>
        </w:rPr>
        <w:t>). La réalisation du projet présupposait l</w:t>
      </w:r>
      <w:r w:rsidR="00636A28">
        <w:rPr>
          <w:lang w:val="fr-FR"/>
        </w:rPr>
        <w:t>’</w:t>
      </w:r>
      <w:r>
        <w:rPr>
          <w:lang w:val="fr-FR"/>
        </w:rPr>
        <w:t>élimination d</w:t>
      </w:r>
      <w:r w:rsidR="00636A28">
        <w:rPr>
          <w:lang w:val="fr-FR"/>
        </w:rPr>
        <w:t>’</w:t>
      </w:r>
      <w:r>
        <w:rPr>
          <w:lang w:val="fr-FR"/>
        </w:rPr>
        <w:t>une colline située à proximité. L</w:t>
      </w:r>
      <w:r w:rsidR="00636A28">
        <w:rPr>
          <w:lang w:val="fr-FR"/>
        </w:rPr>
        <w:t>’</w:t>
      </w:r>
      <w:r>
        <w:rPr>
          <w:lang w:val="fr-FR"/>
        </w:rPr>
        <w:t>article 24 du PRG indiquait que chaque zone était soumise à un instrument d</w:t>
      </w:r>
      <w:r w:rsidR="00636A28">
        <w:rPr>
          <w:lang w:val="fr-FR"/>
        </w:rPr>
        <w:t>’</w:t>
      </w:r>
      <w:r>
        <w:rPr>
          <w:lang w:val="fr-FR"/>
        </w:rPr>
        <w:t>exécution (</w:t>
      </w:r>
      <w:proofErr w:type="spellStart"/>
      <w:r>
        <w:rPr>
          <w:i/>
          <w:lang w:val="fr-FR"/>
        </w:rPr>
        <w:t>strumento</w:t>
      </w:r>
      <w:proofErr w:type="spellEnd"/>
      <w:r>
        <w:rPr>
          <w:i/>
          <w:lang w:val="fr-FR"/>
        </w:rPr>
        <w:t xml:space="preserve"> </w:t>
      </w:r>
      <w:proofErr w:type="spellStart"/>
      <w:r>
        <w:rPr>
          <w:i/>
          <w:lang w:val="fr-FR"/>
        </w:rPr>
        <w:t>attuativo</w:t>
      </w:r>
      <w:proofErr w:type="spellEnd"/>
      <w:r>
        <w:rPr>
          <w:lang w:val="fr-FR"/>
        </w:rPr>
        <w:t xml:space="preserve">) unique, qui aurait dû indiquer un système de viabilité secondaire satisfaisant aux exigences locales et </w:t>
      </w:r>
      <w:r>
        <w:rPr>
          <w:lang w:val="fr-FR"/>
        </w:rPr>
        <w:lastRenderedPageBreak/>
        <w:t>connecté au système de viabilité primaire. Les services urbanistiques devaient être adéquats et les différentes zones devaient être réorganisées de manière rationnelle (</w:t>
      </w:r>
      <w:proofErr w:type="spellStart"/>
      <w:r>
        <w:rPr>
          <w:i/>
          <w:lang w:val="fr-FR"/>
        </w:rPr>
        <w:t>razionale</w:t>
      </w:r>
      <w:proofErr w:type="spellEnd"/>
      <w:r>
        <w:rPr>
          <w:i/>
          <w:lang w:val="fr-FR"/>
        </w:rPr>
        <w:t xml:space="preserve"> </w:t>
      </w:r>
      <w:proofErr w:type="spellStart"/>
      <w:r>
        <w:rPr>
          <w:i/>
          <w:lang w:val="fr-FR"/>
        </w:rPr>
        <w:t>riassetto</w:t>
      </w:r>
      <w:proofErr w:type="spellEnd"/>
      <w:r>
        <w:rPr>
          <w:i/>
          <w:lang w:val="fr-FR"/>
        </w:rPr>
        <w:t xml:space="preserve"> delle </w:t>
      </w:r>
      <w:proofErr w:type="spellStart"/>
      <w:r>
        <w:rPr>
          <w:i/>
          <w:lang w:val="fr-FR"/>
        </w:rPr>
        <w:t>singole</w:t>
      </w:r>
      <w:proofErr w:type="spellEnd"/>
      <w:r>
        <w:rPr>
          <w:i/>
          <w:lang w:val="fr-FR"/>
        </w:rPr>
        <w:t xml:space="preserve"> zone</w:t>
      </w:r>
      <w:r>
        <w:rPr>
          <w:lang w:val="fr-FR"/>
        </w:rPr>
        <w:t>). Le dernier paragraphe de l</w:t>
      </w:r>
      <w:r w:rsidR="00636A28">
        <w:rPr>
          <w:lang w:val="fr-FR"/>
        </w:rPr>
        <w:t>’</w:t>
      </w:r>
      <w:r>
        <w:rPr>
          <w:lang w:val="fr-FR"/>
        </w:rPr>
        <w:t>article 24 précité permettait la construction de locaux en sous-sol pour un usage non résidentiel (</w:t>
      </w:r>
      <w:proofErr w:type="spellStart"/>
      <w:r>
        <w:rPr>
          <w:i/>
          <w:lang w:val="fr-FR"/>
        </w:rPr>
        <w:t>locali</w:t>
      </w:r>
      <w:proofErr w:type="spellEnd"/>
      <w:r>
        <w:rPr>
          <w:i/>
          <w:lang w:val="fr-FR"/>
        </w:rPr>
        <w:t xml:space="preserve"> </w:t>
      </w:r>
      <w:proofErr w:type="spellStart"/>
      <w:r>
        <w:rPr>
          <w:i/>
          <w:lang w:val="fr-FR"/>
        </w:rPr>
        <w:t>interrati</w:t>
      </w:r>
      <w:proofErr w:type="spellEnd"/>
      <w:r>
        <w:rPr>
          <w:i/>
          <w:lang w:val="fr-FR"/>
        </w:rPr>
        <w:t xml:space="preserve"> ad </w:t>
      </w:r>
      <w:proofErr w:type="spellStart"/>
      <w:r>
        <w:rPr>
          <w:i/>
          <w:lang w:val="fr-FR"/>
        </w:rPr>
        <w:t>uso</w:t>
      </w:r>
      <w:proofErr w:type="spellEnd"/>
      <w:r>
        <w:rPr>
          <w:i/>
          <w:lang w:val="fr-FR"/>
        </w:rPr>
        <w:t xml:space="preserve"> non </w:t>
      </w:r>
      <w:proofErr w:type="spellStart"/>
      <w:r>
        <w:rPr>
          <w:i/>
          <w:lang w:val="fr-FR"/>
        </w:rPr>
        <w:t>residenziale</w:t>
      </w:r>
      <w:proofErr w:type="spellEnd"/>
      <w:r>
        <w:rPr>
          <w:lang w:val="fr-FR"/>
        </w:rPr>
        <w:t>).</w:t>
      </w:r>
    </w:p>
    <w:p w:rsidR="000D6569" w:rsidRDefault="000D6569" w:rsidP="000D6569">
      <w:pPr>
        <w:pStyle w:val="ECHRPara"/>
        <w:rPr>
          <w:lang w:val="fr-FR"/>
        </w:rPr>
      </w:pPr>
      <w:bookmarkStart w:id="17" w:name="decisioneConsiglioStato2012009c"/>
      <w:r>
        <w:rPr>
          <w:lang w:val="fr-FR"/>
        </w:rPr>
        <w:t>27</w:t>
      </w:r>
      <w:bookmarkEnd w:id="17"/>
      <w:r>
        <w:rPr>
          <w:lang w:val="fr-FR"/>
        </w:rPr>
        <w:t>.  Dans son jugement du 10</w:t>
      </w:r>
      <w:r w:rsidR="00EC334C">
        <w:rPr>
          <w:lang w:val="fr-FR"/>
        </w:rPr>
        <w:t xml:space="preserve"> </w:t>
      </w:r>
      <w:r>
        <w:rPr>
          <w:lang w:val="fr-FR"/>
        </w:rPr>
        <w:t>décembre 1999, le TAR avait estimé que cette disposition obligeait la municipalité à octroyer le permis sollicité par la requérante et que l</w:t>
      </w:r>
      <w:r w:rsidR="00636A28">
        <w:rPr>
          <w:lang w:val="fr-FR"/>
        </w:rPr>
        <w:t>’</w:t>
      </w:r>
      <w:r>
        <w:rPr>
          <w:lang w:val="fr-FR"/>
        </w:rPr>
        <w:t>erreur de l</w:t>
      </w:r>
      <w:r w:rsidR="00636A28">
        <w:rPr>
          <w:lang w:val="fr-FR"/>
        </w:rPr>
        <w:t>’</w:t>
      </w:r>
      <w:r>
        <w:rPr>
          <w:lang w:val="fr-FR"/>
        </w:rPr>
        <w:t>administration n</w:t>
      </w:r>
      <w:r w:rsidR="00636A28">
        <w:rPr>
          <w:lang w:val="fr-FR"/>
        </w:rPr>
        <w:t>’</w:t>
      </w:r>
      <w:r>
        <w:rPr>
          <w:lang w:val="fr-FR"/>
        </w:rPr>
        <w:t>était pas excusable. Le Conseil d</w:t>
      </w:r>
      <w:r w:rsidR="00636A28">
        <w:rPr>
          <w:lang w:val="fr-FR"/>
        </w:rPr>
        <w:t>’</w:t>
      </w:r>
      <w:r>
        <w:rPr>
          <w:lang w:val="fr-FR"/>
        </w:rPr>
        <w:t>État ne partagea pas cette conclusion. Selon lui, l</w:t>
      </w:r>
      <w:r w:rsidR="00636A28">
        <w:rPr>
          <w:lang w:val="fr-FR"/>
        </w:rPr>
        <w:t>’</w:t>
      </w:r>
      <w:r>
        <w:rPr>
          <w:lang w:val="fr-FR"/>
        </w:rPr>
        <w:t>article 24 du PRG devait être lu dans son intégralité, cette disposition exigeant en tout cas la présence des services urbanistiques nécessaires et que tout nouveau bâtiment fût inséré de manière harmonieuse dans la zone où il était construit. On ne pouvait donc pas parvenir à la conclusion que tout projet en sous-sol donnait automatiquement droit à la délivrance d</w:t>
      </w:r>
      <w:r w:rsidR="00636A28">
        <w:rPr>
          <w:lang w:val="fr-FR"/>
        </w:rPr>
        <w:t>’</w:t>
      </w:r>
      <w:r>
        <w:rPr>
          <w:lang w:val="fr-FR"/>
        </w:rPr>
        <w:t>un permis de construire.</w:t>
      </w:r>
    </w:p>
    <w:p w:rsidR="000D6569" w:rsidRDefault="000D6569" w:rsidP="000D6569">
      <w:pPr>
        <w:pStyle w:val="ECHRPara"/>
        <w:rPr>
          <w:lang w:val="fr-FR"/>
        </w:rPr>
      </w:pPr>
      <w:bookmarkStart w:id="18" w:name="decisioneConsiglioStato2012009d"/>
      <w:r>
        <w:rPr>
          <w:lang w:val="fr-FR"/>
        </w:rPr>
        <w:t>28</w:t>
      </w:r>
      <w:bookmarkEnd w:id="18"/>
      <w:r>
        <w:rPr>
          <w:lang w:val="fr-FR"/>
        </w:rPr>
        <w:t>.  Le Conseil d</w:t>
      </w:r>
      <w:r w:rsidR="00636A28">
        <w:rPr>
          <w:lang w:val="fr-FR"/>
        </w:rPr>
        <w:t>’</w:t>
      </w:r>
      <w:r>
        <w:rPr>
          <w:lang w:val="fr-FR"/>
        </w:rPr>
        <w:t>État souligna également que dans la zone où se trouvait le terrain de la requérante, toute nouvelle élévation et restructuration était exclue, ce qui amenait à penser que tout éventuel bâtiment en sous-sol devait être destiné à l</w:t>
      </w:r>
      <w:r w:rsidR="00636A28">
        <w:rPr>
          <w:lang w:val="fr-FR"/>
        </w:rPr>
        <w:t>’</w:t>
      </w:r>
      <w:r>
        <w:rPr>
          <w:lang w:val="fr-FR"/>
        </w:rPr>
        <w:t>usage typique de ce genre d</w:t>
      </w:r>
      <w:r w:rsidR="00636A28">
        <w:rPr>
          <w:lang w:val="fr-FR"/>
        </w:rPr>
        <w:t>’</w:t>
      </w:r>
      <w:r>
        <w:rPr>
          <w:lang w:val="fr-FR"/>
        </w:rPr>
        <w:t>immeubles (parking, dépôt, aire pour appareils techniques ou technologiques). Par ailleurs, l</w:t>
      </w:r>
      <w:r w:rsidR="00636A28">
        <w:rPr>
          <w:lang w:val="fr-FR"/>
        </w:rPr>
        <w:t>’</w:t>
      </w:r>
      <w:r>
        <w:rPr>
          <w:lang w:val="fr-FR"/>
        </w:rPr>
        <w:t>édifice que la requérante souhaitait bâtir n</w:t>
      </w:r>
      <w:r w:rsidR="00636A28">
        <w:rPr>
          <w:lang w:val="fr-FR"/>
        </w:rPr>
        <w:t>’</w:t>
      </w:r>
      <w:r>
        <w:rPr>
          <w:lang w:val="fr-FR"/>
        </w:rPr>
        <w:t>aurait pas été connecté au système de viabilité primaire, d</w:t>
      </w:r>
      <w:r w:rsidR="00636A28">
        <w:rPr>
          <w:lang w:val="fr-FR"/>
        </w:rPr>
        <w:t>’</w:t>
      </w:r>
      <w:r>
        <w:rPr>
          <w:lang w:val="fr-FR"/>
        </w:rPr>
        <w:t>où la nécessité d</w:t>
      </w:r>
      <w:r w:rsidR="00636A28">
        <w:rPr>
          <w:lang w:val="fr-FR"/>
        </w:rPr>
        <w:t>’</w:t>
      </w:r>
      <w:r>
        <w:rPr>
          <w:lang w:val="fr-FR"/>
        </w:rPr>
        <w:t>un plan spécifique.</w:t>
      </w:r>
    </w:p>
    <w:p w:rsidR="000D6569" w:rsidRDefault="000D6569" w:rsidP="000D6569">
      <w:pPr>
        <w:pStyle w:val="ECHRPara"/>
        <w:rPr>
          <w:lang w:val="fr-FR"/>
        </w:rPr>
      </w:pPr>
      <w:bookmarkStart w:id="19" w:name="decisioneConsiglioStato2012009e"/>
      <w:r>
        <w:rPr>
          <w:rFonts w:cstheme="minorHAnsi"/>
          <w:lang w:val="fr-FR"/>
        </w:rPr>
        <w:t>29</w:t>
      </w:r>
      <w:bookmarkEnd w:id="19"/>
      <w:r>
        <w:rPr>
          <w:rFonts w:cstheme="minorHAnsi"/>
          <w:lang w:val="fr-FR"/>
        </w:rPr>
        <w:t>.  À</w:t>
      </w:r>
      <w:r>
        <w:rPr>
          <w:lang w:val="fr-FR"/>
        </w:rPr>
        <w:t xml:space="preserve"> la lumière de ce qui précède, le Conseil d</w:t>
      </w:r>
      <w:r w:rsidR="00636A28">
        <w:rPr>
          <w:lang w:val="fr-FR"/>
        </w:rPr>
        <w:t>’</w:t>
      </w:r>
      <w:r>
        <w:rPr>
          <w:lang w:val="fr-FR"/>
        </w:rPr>
        <w:t>État estima qu</w:t>
      </w:r>
      <w:r w:rsidR="00636A28">
        <w:rPr>
          <w:lang w:val="fr-FR"/>
        </w:rPr>
        <w:t>’</w:t>
      </w:r>
      <w:r>
        <w:rPr>
          <w:lang w:val="fr-FR"/>
        </w:rPr>
        <w:t>on ne pouvait pas reprocher un comportement fautif à la municipalité de Sanremo. En effet, selon une jurisprudence bien établie, l</w:t>
      </w:r>
      <w:r w:rsidR="00636A28">
        <w:rPr>
          <w:lang w:val="fr-FR"/>
        </w:rPr>
        <w:t>’</w:t>
      </w:r>
      <w:r>
        <w:rPr>
          <w:lang w:val="fr-FR"/>
        </w:rPr>
        <w:t>annulation d</w:t>
      </w:r>
      <w:r w:rsidR="00636A28">
        <w:rPr>
          <w:lang w:val="fr-FR"/>
        </w:rPr>
        <w:t>’</w:t>
      </w:r>
      <w:r>
        <w:rPr>
          <w:lang w:val="fr-FR"/>
        </w:rPr>
        <w:t>un acte administratif n</w:t>
      </w:r>
      <w:r w:rsidR="00636A28">
        <w:rPr>
          <w:lang w:val="fr-FR"/>
        </w:rPr>
        <w:t>’</w:t>
      </w:r>
      <w:r>
        <w:rPr>
          <w:lang w:val="fr-FR"/>
        </w:rPr>
        <w:t>impliquait pas automatiquement l</w:t>
      </w:r>
      <w:r w:rsidR="00636A28">
        <w:rPr>
          <w:lang w:val="fr-FR"/>
        </w:rPr>
        <w:t>’</w:t>
      </w:r>
      <w:r>
        <w:rPr>
          <w:lang w:val="fr-FR"/>
        </w:rPr>
        <w:t>existence d</w:t>
      </w:r>
      <w:r w:rsidR="00636A28">
        <w:rPr>
          <w:lang w:val="fr-FR"/>
        </w:rPr>
        <w:t>’</w:t>
      </w:r>
      <w:r>
        <w:rPr>
          <w:lang w:val="fr-FR"/>
        </w:rPr>
        <w:t>une faute de l</w:t>
      </w:r>
      <w:r w:rsidR="00636A28">
        <w:rPr>
          <w:lang w:val="fr-FR"/>
        </w:rPr>
        <w:t>’</w:t>
      </w:r>
      <w:r>
        <w:rPr>
          <w:lang w:val="fr-FR"/>
        </w:rPr>
        <w:t>administration ; celle-ci dépendait d</w:t>
      </w:r>
      <w:r w:rsidR="00636A28">
        <w:rPr>
          <w:lang w:val="fr-FR"/>
        </w:rPr>
        <w:t>’</w:t>
      </w:r>
      <w:r>
        <w:rPr>
          <w:lang w:val="fr-FR"/>
        </w:rPr>
        <w:t>une évaluation au cas par cas quant à la violation des règles de l</w:t>
      </w:r>
      <w:r w:rsidR="00636A28">
        <w:rPr>
          <w:lang w:val="fr-FR"/>
        </w:rPr>
        <w:t>’</w:t>
      </w:r>
      <w:r>
        <w:rPr>
          <w:lang w:val="fr-FR"/>
        </w:rPr>
        <w:t>action administrative découlant des principes constitutionnels d</w:t>
      </w:r>
      <w:r w:rsidR="00636A28">
        <w:rPr>
          <w:lang w:val="fr-FR"/>
        </w:rPr>
        <w:t>’</w:t>
      </w:r>
      <w:r>
        <w:rPr>
          <w:lang w:val="fr-FR"/>
        </w:rPr>
        <w:t>impartialité, efficacité et transparence, ainsi que de la nature des dispositions appliquées en l</w:t>
      </w:r>
      <w:r w:rsidR="00636A28">
        <w:rPr>
          <w:lang w:val="fr-FR"/>
        </w:rPr>
        <w:t>’</w:t>
      </w:r>
      <w:r>
        <w:rPr>
          <w:lang w:val="fr-FR"/>
        </w:rPr>
        <w:t>espèce.</w:t>
      </w:r>
    </w:p>
    <w:p w:rsidR="000D6569" w:rsidRPr="00905EBC" w:rsidRDefault="000D6569" w:rsidP="000D6569">
      <w:pPr>
        <w:pStyle w:val="ECHRPara"/>
        <w:rPr>
          <w:lang w:val="fr-FR"/>
        </w:rPr>
      </w:pPr>
      <w:bookmarkStart w:id="20" w:name="decisioneConsiglioStato2012009f"/>
      <w:r>
        <w:rPr>
          <w:lang w:val="fr-FR"/>
        </w:rPr>
        <w:t>30</w:t>
      </w:r>
      <w:bookmarkEnd w:id="20"/>
      <w:r>
        <w:rPr>
          <w:lang w:val="fr-FR"/>
        </w:rPr>
        <w:t>.  L</w:t>
      </w:r>
      <w:r w:rsidR="00636A28">
        <w:rPr>
          <w:lang w:val="fr-FR"/>
        </w:rPr>
        <w:t>’</w:t>
      </w:r>
      <w:r>
        <w:rPr>
          <w:lang w:val="fr-FR"/>
        </w:rPr>
        <w:t>administration n</w:t>
      </w:r>
      <w:r w:rsidR="00636A28">
        <w:rPr>
          <w:lang w:val="fr-FR"/>
        </w:rPr>
        <w:t>’</w:t>
      </w:r>
      <w:r>
        <w:rPr>
          <w:lang w:val="fr-FR"/>
        </w:rPr>
        <w:t>étant pas fautive, aucun dédommagement n</w:t>
      </w:r>
      <w:r w:rsidR="00636A28">
        <w:rPr>
          <w:lang w:val="fr-FR"/>
        </w:rPr>
        <w:t>’</w:t>
      </w:r>
      <w:r>
        <w:rPr>
          <w:lang w:val="fr-FR"/>
        </w:rPr>
        <w:t>était dû à la requérante.</w:t>
      </w:r>
    </w:p>
    <w:p w:rsidR="000D6569" w:rsidRPr="00905EBC" w:rsidRDefault="000D6569" w:rsidP="000D6569">
      <w:pPr>
        <w:pStyle w:val="ECHRTitle1"/>
        <w:rPr>
          <w:lang w:val="fr-FR"/>
        </w:rPr>
      </w:pPr>
      <w:r w:rsidRPr="00905EBC">
        <w:rPr>
          <w:lang w:val="fr-FR"/>
        </w:rPr>
        <w:t>GRIEF</w:t>
      </w:r>
    </w:p>
    <w:p w:rsidR="000D6569" w:rsidRPr="00905EBC" w:rsidRDefault="000D6569" w:rsidP="000D6569">
      <w:pPr>
        <w:pStyle w:val="ECHRPara"/>
        <w:rPr>
          <w:lang w:val="fr-FR"/>
        </w:rPr>
      </w:pPr>
      <w:r>
        <w:rPr>
          <w:lang w:val="fr-FR"/>
        </w:rPr>
        <w:t>31.  </w:t>
      </w:r>
      <w:r w:rsidRPr="00905EBC">
        <w:rPr>
          <w:lang w:val="fr-FR"/>
        </w:rPr>
        <w:t>Invoquant l</w:t>
      </w:r>
      <w:r w:rsidR="00636A28">
        <w:rPr>
          <w:lang w:val="fr-FR"/>
        </w:rPr>
        <w:t>’</w:t>
      </w:r>
      <w:r w:rsidRPr="00905EBC">
        <w:rPr>
          <w:lang w:val="fr-FR"/>
        </w:rPr>
        <w:t xml:space="preserve">article </w:t>
      </w:r>
      <w:r>
        <w:rPr>
          <w:lang w:val="fr-FR"/>
        </w:rPr>
        <w:t>1 du Protocole n</w:t>
      </w:r>
      <w:r w:rsidRPr="000D6569">
        <w:rPr>
          <w:vertAlign w:val="superscript"/>
          <w:lang w:val="fr-FR"/>
        </w:rPr>
        <w:t>o</w:t>
      </w:r>
      <w:r>
        <w:rPr>
          <w:lang w:val="fr-FR"/>
        </w:rPr>
        <w:t xml:space="preserve"> 1 à</w:t>
      </w:r>
      <w:r w:rsidRPr="00905EBC">
        <w:rPr>
          <w:lang w:val="fr-FR"/>
        </w:rPr>
        <w:t xml:space="preserve"> de la Convention, l</w:t>
      </w:r>
      <w:r>
        <w:rPr>
          <w:lang w:val="fr-FR"/>
        </w:rPr>
        <w:t>a</w:t>
      </w:r>
      <w:r w:rsidRPr="00905EBC">
        <w:rPr>
          <w:lang w:val="fr-FR"/>
        </w:rPr>
        <w:t xml:space="preserve"> requérant</w:t>
      </w:r>
      <w:r>
        <w:rPr>
          <w:lang w:val="fr-FR"/>
        </w:rPr>
        <w:t>e dénonce une atteinte à son droit au respect de ses biens</w:t>
      </w:r>
      <w:r w:rsidRPr="00905EBC">
        <w:rPr>
          <w:lang w:val="fr-FR"/>
        </w:rPr>
        <w:t>.</w:t>
      </w:r>
    </w:p>
    <w:p w:rsidR="000D6569" w:rsidRPr="00905EBC" w:rsidRDefault="000D6569" w:rsidP="000D6569">
      <w:pPr>
        <w:pStyle w:val="ECHRTitle1"/>
        <w:rPr>
          <w:lang w:val="fr-FR"/>
        </w:rPr>
      </w:pPr>
      <w:r w:rsidRPr="00905EBC">
        <w:rPr>
          <w:lang w:val="fr-FR"/>
        </w:rPr>
        <w:lastRenderedPageBreak/>
        <w:t>EN DROIT</w:t>
      </w:r>
    </w:p>
    <w:p w:rsidR="000D6569" w:rsidRDefault="000D6569" w:rsidP="000D6569">
      <w:pPr>
        <w:pStyle w:val="ECHRPara"/>
        <w:rPr>
          <w:lang w:val="fr-FR"/>
        </w:rPr>
      </w:pPr>
      <w:r>
        <w:rPr>
          <w:lang w:val="fr-FR"/>
        </w:rPr>
        <w:t>32.  La</w:t>
      </w:r>
      <w:r w:rsidRPr="006B54C6">
        <w:rPr>
          <w:lang w:val="fr-FR"/>
        </w:rPr>
        <w:t xml:space="preserve"> requérant</w:t>
      </w:r>
      <w:r>
        <w:rPr>
          <w:lang w:val="fr-FR"/>
        </w:rPr>
        <w:t>e</w:t>
      </w:r>
      <w:r w:rsidRPr="006B54C6">
        <w:rPr>
          <w:lang w:val="fr-FR"/>
        </w:rPr>
        <w:t xml:space="preserve"> </w:t>
      </w:r>
      <w:r>
        <w:rPr>
          <w:lang w:val="fr-FR"/>
        </w:rPr>
        <w:t>considère avoir été victime d</w:t>
      </w:r>
      <w:r w:rsidR="00636A28">
        <w:rPr>
          <w:lang w:val="fr-FR"/>
        </w:rPr>
        <w:t>’</w:t>
      </w:r>
      <w:r>
        <w:rPr>
          <w:lang w:val="fr-FR"/>
        </w:rPr>
        <w:t>une ingérence injustifiée dans son droit au respect de ses biens.</w:t>
      </w:r>
    </w:p>
    <w:p w:rsidR="000D6569" w:rsidRDefault="000D6569" w:rsidP="000D6569">
      <w:pPr>
        <w:pStyle w:val="ECHRPara"/>
        <w:rPr>
          <w:lang w:val="fr-FR"/>
        </w:rPr>
      </w:pPr>
      <w:r>
        <w:rPr>
          <w:lang w:val="fr-FR"/>
        </w:rPr>
        <w:t>Elle invoque l</w:t>
      </w:r>
      <w:r w:rsidR="00636A28">
        <w:rPr>
          <w:lang w:val="fr-FR"/>
        </w:rPr>
        <w:t>’</w:t>
      </w:r>
      <w:r>
        <w:rPr>
          <w:lang w:val="fr-FR"/>
        </w:rPr>
        <w:t>article 1 du Protocole n</w:t>
      </w:r>
      <w:r w:rsidRPr="000D6569">
        <w:rPr>
          <w:vertAlign w:val="superscript"/>
          <w:lang w:val="fr-FR"/>
        </w:rPr>
        <w:t>o</w:t>
      </w:r>
      <w:r>
        <w:rPr>
          <w:lang w:val="fr-FR"/>
        </w:rPr>
        <w:t xml:space="preserve"> 1 à</w:t>
      </w:r>
      <w:r w:rsidRPr="00905EBC">
        <w:rPr>
          <w:lang w:val="fr-FR"/>
        </w:rPr>
        <w:t xml:space="preserve"> de la Convention,</w:t>
      </w:r>
      <w:r>
        <w:rPr>
          <w:lang w:val="fr-FR"/>
        </w:rPr>
        <w:t xml:space="preserve"> ainsi libellé :</w:t>
      </w:r>
    </w:p>
    <w:p w:rsidR="000D6569" w:rsidRPr="00F97ADA" w:rsidRDefault="000D6569" w:rsidP="000D6569">
      <w:pPr>
        <w:pStyle w:val="ECHRParaQuote"/>
        <w:rPr>
          <w:lang w:val="fr-FR"/>
        </w:rPr>
      </w:pPr>
      <w:r w:rsidRPr="00F97ADA">
        <w:rPr>
          <w:lang w:val="fr-FR"/>
        </w:rPr>
        <w:t>« Toute personne physique ou morale a droit au respect de ses biens. Nul ne peut être privé de sa propriété que pour cause d</w:t>
      </w:r>
      <w:r w:rsidR="00636A28">
        <w:rPr>
          <w:lang w:val="fr-FR"/>
        </w:rPr>
        <w:t>’</w:t>
      </w:r>
      <w:r w:rsidRPr="00F97ADA">
        <w:rPr>
          <w:lang w:val="fr-FR"/>
        </w:rPr>
        <w:t>utilité publique et dans les conditions prévues par la loi et les principes généraux du droit international.</w:t>
      </w:r>
    </w:p>
    <w:p w:rsidR="000D6569" w:rsidRDefault="000D6569" w:rsidP="000D6569">
      <w:pPr>
        <w:pStyle w:val="ECHRParaQuote"/>
        <w:rPr>
          <w:lang w:val="fr-FR"/>
        </w:rPr>
      </w:pPr>
      <w:r w:rsidRPr="00F97ADA">
        <w:rPr>
          <w:lang w:val="fr-FR"/>
        </w:rPr>
        <w:t>Les dispositions précédentes ne portent pas atteinte au droit que possèdent les Etats de mettre en vigueur les lois qu</w:t>
      </w:r>
      <w:r w:rsidR="00636A28">
        <w:rPr>
          <w:lang w:val="fr-FR"/>
        </w:rPr>
        <w:t>’</w:t>
      </w:r>
      <w:r w:rsidRPr="00F97ADA">
        <w:rPr>
          <w:lang w:val="fr-FR"/>
        </w:rPr>
        <w:t>ils jugent nécessaires pour réglementer l</w:t>
      </w:r>
      <w:r w:rsidR="00636A28">
        <w:rPr>
          <w:lang w:val="fr-FR"/>
        </w:rPr>
        <w:t>’</w:t>
      </w:r>
      <w:r w:rsidRPr="00F97ADA">
        <w:rPr>
          <w:lang w:val="fr-FR"/>
        </w:rPr>
        <w:t>usage des biens conformément à l</w:t>
      </w:r>
      <w:r w:rsidR="00636A28">
        <w:rPr>
          <w:lang w:val="fr-FR"/>
        </w:rPr>
        <w:t>’</w:t>
      </w:r>
      <w:r w:rsidRPr="00F97ADA">
        <w:rPr>
          <w:lang w:val="fr-FR"/>
        </w:rPr>
        <w:t>intérêt général ou pour assurer le paiement des impôts ou d</w:t>
      </w:r>
      <w:r w:rsidR="00636A28">
        <w:rPr>
          <w:lang w:val="fr-FR"/>
        </w:rPr>
        <w:t>’</w:t>
      </w:r>
      <w:r w:rsidRPr="00F97ADA">
        <w:rPr>
          <w:lang w:val="fr-FR"/>
        </w:rPr>
        <w:t>autres contributions ou des amendes. »</w:t>
      </w:r>
    </w:p>
    <w:p w:rsidR="000D6569" w:rsidRDefault="000D6569" w:rsidP="000D6569">
      <w:pPr>
        <w:pStyle w:val="ECHRHeading2"/>
        <w:rPr>
          <w:lang w:val="fr-FR"/>
        </w:rPr>
      </w:pPr>
      <w:r>
        <w:rPr>
          <w:lang w:val="fr-FR"/>
        </w:rPr>
        <w:t>A.</w:t>
      </w:r>
      <w:proofErr w:type="gramStart"/>
      <w:r>
        <w:rPr>
          <w:lang w:val="fr-FR"/>
        </w:rPr>
        <w:t>  Arguments</w:t>
      </w:r>
      <w:proofErr w:type="gramEnd"/>
      <w:r>
        <w:rPr>
          <w:lang w:val="fr-FR"/>
        </w:rPr>
        <w:t xml:space="preserve"> des parties</w:t>
      </w:r>
    </w:p>
    <w:p w:rsidR="000D6569" w:rsidRPr="00846000" w:rsidRDefault="000D6569" w:rsidP="000D6569">
      <w:pPr>
        <w:pStyle w:val="ECHRHeading3"/>
        <w:rPr>
          <w:lang w:val="fr-FR"/>
        </w:rPr>
      </w:pPr>
      <w:r>
        <w:rPr>
          <w:lang w:val="fr-FR"/>
        </w:rPr>
        <w:t>1.  La requérante</w:t>
      </w:r>
    </w:p>
    <w:p w:rsidR="000D6569" w:rsidRDefault="000D6569" w:rsidP="000D6569">
      <w:pPr>
        <w:pStyle w:val="ECHRPara"/>
        <w:rPr>
          <w:lang w:val="fr-FR"/>
        </w:rPr>
      </w:pPr>
      <w:bookmarkStart w:id="21" w:name="requeranteciteAssymomitis"/>
      <w:r>
        <w:rPr>
          <w:lang w:val="fr-FR"/>
        </w:rPr>
        <w:t>33</w:t>
      </w:r>
      <w:bookmarkEnd w:id="21"/>
      <w:r>
        <w:rPr>
          <w:lang w:val="fr-FR"/>
        </w:rPr>
        <w:t>.  Selon la requérante, l</w:t>
      </w:r>
      <w:r w:rsidR="00636A28">
        <w:rPr>
          <w:lang w:val="fr-FR"/>
        </w:rPr>
        <w:t>’</w:t>
      </w:r>
      <w:r>
        <w:rPr>
          <w:lang w:val="fr-FR"/>
        </w:rPr>
        <w:t>ingérence dont elle a été victime, constituée par les décisions et l</w:t>
      </w:r>
      <w:r w:rsidR="00636A28">
        <w:rPr>
          <w:lang w:val="fr-FR"/>
        </w:rPr>
        <w:t>’</w:t>
      </w:r>
      <w:r>
        <w:rPr>
          <w:lang w:val="fr-FR"/>
        </w:rPr>
        <w:t>attitude des autorités, s</w:t>
      </w:r>
      <w:r w:rsidR="00636A28">
        <w:rPr>
          <w:lang w:val="fr-FR"/>
        </w:rPr>
        <w:t>’</w:t>
      </w:r>
      <w:r>
        <w:rPr>
          <w:lang w:val="fr-FR"/>
        </w:rPr>
        <w:t>analyse en une limitation à la disponibilité de ses biens, qui l</w:t>
      </w:r>
      <w:r w:rsidR="00636A28">
        <w:rPr>
          <w:lang w:val="fr-FR"/>
        </w:rPr>
        <w:t>’</w:t>
      </w:r>
      <w:r>
        <w:rPr>
          <w:lang w:val="fr-FR"/>
        </w:rPr>
        <w:t>a plongée dans une incertitude prolongée quant au sort de sa propriété, l</w:t>
      </w:r>
      <w:r w:rsidR="00636A28">
        <w:rPr>
          <w:lang w:val="fr-FR"/>
        </w:rPr>
        <w:t>’</w:t>
      </w:r>
      <w:r>
        <w:rPr>
          <w:lang w:val="fr-FR"/>
        </w:rPr>
        <w:t>empêchant de l</w:t>
      </w:r>
      <w:r w:rsidR="00636A28">
        <w:rPr>
          <w:lang w:val="fr-FR"/>
        </w:rPr>
        <w:t>’</w:t>
      </w:r>
      <w:r>
        <w:rPr>
          <w:lang w:val="fr-FR"/>
        </w:rPr>
        <w:t>exploiter. La requérante cite, à cet égard, l</w:t>
      </w:r>
      <w:r w:rsidR="00636A28">
        <w:rPr>
          <w:lang w:val="fr-FR"/>
        </w:rPr>
        <w:t>’</w:t>
      </w:r>
      <w:r>
        <w:rPr>
          <w:lang w:val="fr-FR"/>
        </w:rPr>
        <w:t xml:space="preserve">arrêt </w:t>
      </w:r>
      <w:proofErr w:type="spellStart"/>
      <w:r>
        <w:rPr>
          <w:i/>
          <w:lang w:val="fr-FR"/>
        </w:rPr>
        <w:t>Assymomitis</w:t>
      </w:r>
      <w:proofErr w:type="spellEnd"/>
      <w:r>
        <w:rPr>
          <w:i/>
          <w:lang w:val="fr-FR"/>
        </w:rPr>
        <w:t xml:space="preserve"> c. Grèce</w:t>
      </w:r>
      <w:r>
        <w:rPr>
          <w:lang w:val="fr-FR"/>
        </w:rPr>
        <w:t>, n</w:t>
      </w:r>
      <w:r w:rsidRPr="000D6569">
        <w:rPr>
          <w:vertAlign w:val="superscript"/>
          <w:lang w:val="fr-FR"/>
        </w:rPr>
        <w:t>o</w:t>
      </w:r>
      <w:r>
        <w:rPr>
          <w:lang w:val="fr-FR"/>
        </w:rPr>
        <w:t xml:space="preserve"> </w:t>
      </w:r>
      <w:r w:rsidRPr="00B87063">
        <w:rPr>
          <w:lang w:val="fr-FR"/>
        </w:rPr>
        <w:t>67629/01, 14 octobre 2004)</w:t>
      </w:r>
      <w:r>
        <w:rPr>
          <w:lang w:val="fr-FR"/>
        </w:rPr>
        <w:t>.</w:t>
      </w:r>
    </w:p>
    <w:p w:rsidR="000D6569" w:rsidRDefault="000D6569" w:rsidP="000D6569">
      <w:pPr>
        <w:pStyle w:val="ECHRPara"/>
        <w:rPr>
          <w:lang w:val="fr-FR"/>
        </w:rPr>
      </w:pPr>
      <w:r>
        <w:rPr>
          <w:lang w:val="fr-FR"/>
        </w:rPr>
        <w:t>34.  La requérante observe qu</w:t>
      </w:r>
      <w:r w:rsidR="00636A28">
        <w:rPr>
          <w:lang w:val="fr-FR"/>
        </w:rPr>
        <w:t>’</w:t>
      </w:r>
      <w:r>
        <w:rPr>
          <w:lang w:val="fr-FR"/>
        </w:rPr>
        <w:t>elle a dû attendre plus de seize ans avant d</w:t>
      </w:r>
      <w:r w:rsidR="00636A28">
        <w:rPr>
          <w:lang w:val="fr-FR"/>
        </w:rPr>
        <w:t>’</w:t>
      </w:r>
      <w:r>
        <w:rPr>
          <w:lang w:val="fr-FR"/>
        </w:rPr>
        <w:t>obtenir le permis de construire qu</w:t>
      </w:r>
      <w:r w:rsidR="00636A28">
        <w:rPr>
          <w:lang w:val="fr-FR"/>
        </w:rPr>
        <w:t>’</w:t>
      </w:r>
      <w:r>
        <w:rPr>
          <w:lang w:val="fr-FR"/>
        </w:rPr>
        <w:t>elle sollicitait depuis le 5 décembre 1984 (paragraphe 5 ci-dessus), et auquel elle avait droit. Si son projet de construction de centre commercial, bureaux et parkings était initialement innovant, tel n</w:t>
      </w:r>
      <w:r w:rsidR="00636A28">
        <w:rPr>
          <w:lang w:val="fr-FR"/>
        </w:rPr>
        <w:t>’</w:t>
      </w:r>
      <w:r>
        <w:rPr>
          <w:lang w:val="fr-FR"/>
        </w:rPr>
        <w:t>était plus le cas quand la municipalité était finalement prête à délivrer le permis. Ceci a été très préjudiciable et en l</w:t>
      </w:r>
      <w:r w:rsidR="00636A28">
        <w:rPr>
          <w:lang w:val="fr-FR"/>
        </w:rPr>
        <w:t>’</w:t>
      </w:r>
      <w:r>
        <w:rPr>
          <w:lang w:val="fr-FR"/>
        </w:rPr>
        <w:t>espèce, la poursuite de l</w:t>
      </w:r>
      <w:r w:rsidR="00636A28">
        <w:rPr>
          <w:lang w:val="fr-FR"/>
        </w:rPr>
        <w:t>’</w:t>
      </w:r>
      <w:r>
        <w:rPr>
          <w:lang w:val="fr-FR"/>
        </w:rPr>
        <w:t>intérêt public ne saurait justifier l</w:t>
      </w:r>
      <w:r w:rsidR="00636A28">
        <w:rPr>
          <w:lang w:val="fr-FR"/>
        </w:rPr>
        <w:t>’</w:t>
      </w:r>
      <w:r>
        <w:rPr>
          <w:lang w:val="fr-FR"/>
        </w:rPr>
        <w:t>attitude des autorités.</w:t>
      </w:r>
    </w:p>
    <w:p w:rsidR="000D6569" w:rsidRPr="00905EBC" w:rsidRDefault="000D6569" w:rsidP="000D6569">
      <w:pPr>
        <w:pStyle w:val="ECHRPara"/>
        <w:rPr>
          <w:lang w:val="fr-FR"/>
        </w:rPr>
      </w:pPr>
      <w:r>
        <w:rPr>
          <w:lang w:val="fr-FR"/>
        </w:rPr>
        <w:t>35.  La requérante estime que les autorités n</w:t>
      </w:r>
      <w:r w:rsidR="00636A28">
        <w:rPr>
          <w:lang w:val="fr-FR"/>
        </w:rPr>
        <w:t>’</w:t>
      </w:r>
      <w:r>
        <w:rPr>
          <w:lang w:val="fr-FR"/>
        </w:rPr>
        <w:t>ont pas donné exécution aux décisions de justice qui lui étaient favorables, et en particulier aux jugements du TAR des 17 décembre 1992 et 10 décembre 1999 (paragraphes 11-12 et 17-18 ci-dessus), qui, selon elle, obligeaient la municipalité à octroyer le permis. S</w:t>
      </w:r>
      <w:r w:rsidR="00636A28">
        <w:rPr>
          <w:lang w:val="fr-FR"/>
        </w:rPr>
        <w:t>’</w:t>
      </w:r>
      <w:r>
        <w:rPr>
          <w:lang w:val="fr-FR"/>
        </w:rPr>
        <w:t>appuyant sur l</w:t>
      </w:r>
      <w:r w:rsidR="00636A28">
        <w:rPr>
          <w:lang w:val="fr-FR"/>
        </w:rPr>
        <w:t>’</w:t>
      </w:r>
      <w:r>
        <w:rPr>
          <w:lang w:val="fr-FR"/>
        </w:rPr>
        <w:t xml:space="preserve">arrêt </w:t>
      </w:r>
      <w:proofErr w:type="spellStart"/>
      <w:r>
        <w:rPr>
          <w:i/>
          <w:lang w:val="fr-FR"/>
        </w:rPr>
        <w:t>Iatridis</w:t>
      </w:r>
      <w:proofErr w:type="spellEnd"/>
      <w:r>
        <w:rPr>
          <w:i/>
          <w:lang w:val="fr-FR"/>
        </w:rPr>
        <w:t xml:space="preserve"> c. Grèce </w:t>
      </w:r>
      <w:r>
        <w:rPr>
          <w:lang w:val="fr-FR"/>
        </w:rPr>
        <w:t>(n</w:t>
      </w:r>
      <w:r w:rsidRPr="000D6569">
        <w:rPr>
          <w:vertAlign w:val="superscript"/>
          <w:lang w:val="fr-FR"/>
        </w:rPr>
        <w:t>o</w:t>
      </w:r>
      <w:r>
        <w:rPr>
          <w:lang w:val="fr-FR"/>
        </w:rPr>
        <w:t> 31107/96, CEDH 1999-II), la requérante en déduit que l</w:t>
      </w:r>
      <w:r w:rsidR="00636A28">
        <w:rPr>
          <w:lang w:val="fr-FR"/>
        </w:rPr>
        <w:t>’</w:t>
      </w:r>
      <w:r>
        <w:rPr>
          <w:lang w:val="fr-FR"/>
        </w:rPr>
        <w:t>ingérence dénoncée n</w:t>
      </w:r>
      <w:r w:rsidR="00636A28">
        <w:rPr>
          <w:lang w:val="fr-FR"/>
        </w:rPr>
        <w:t>’</w:t>
      </w:r>
      <w:r>
        <w:rPr>
          <w:lang w:val="fr-FR"/>
        </w:rPr>
        <w:t>avait aucune base légale.</w:t>
      </w:r>
    </w:p>
    <w:p w:rsidR="000D6569" w:rsidRDefault="000D6569" w:rsidP="000D6569">
      <w:pPr>
        <w:pStyle w:val="ECHRPara"/>
        <w:rPr>
          <w:lang w:val="fr-FR"/>
        </w:rPr>
      </w:pPr>
      <w:r>
        <w:rPr>
          <w:lang w:val="fr-FR"/>
        </w:rPr>
        <w:t>36.  De plus, dans sa décision du 20 jan</w:t>
      </w:r>
      <w:r w:rsidR="00076FEF">
        <w:rPr>
          <w:lang w:val="fr-FR"/>
        </w:rPr>
        <w:t>vier 2009 (paragraphes 25-30 ci</w:t>
      </w:r>
      <w:r w:rsidR="00076FEF">
        <w:rPr>
          <w:lang w:val="fr-FR"/>
        </w:rPr>
        <w:noBreakHyphen/>
      </w:r>
      <w:r>
        <w:rPr>
          <w:lang w:val="fr-FR"/>
        </w:rPr>
        <w:t>dessus), le Conseil d</w:t>
      </w:r>
      <w:r w:rsidR="00636A28">
        <w:rPr>
          <w:lang w:val="fr-FR"/>
        </w:rPr>
        <w:t>’</w:t>
      </w:r>
      <w:r>
        <w:rPr>
          <w:lang w:val="fr-FR"/>
        </w:rPr>
        <w:t>État aurait refusé de tenir compte des illégalités commises par la municipalité de Sanremo et d</w:t>
      </w:r>
      <w:r w:rsidR="00636A28">
        <w:rPr>
          <w:lang w:val="fr-FR"/>
        </w:rPr>
        <w:t>’</w:t>
      </w:r>
      <w:r>
        <w:rPr>
          <w:lang w:val="fr-FR"/>
        </w:rPr>
        <w:t>indemniser le préjudice subi par la requérante. Cette dernière, qui n</w:t>
      </w:r>
      <w:r w:rsidR="00636A28">
        <w:rPr>
          <w:lang w:val="fr-FR"/>
        </w:rPr>
        <w:t>’</w:t>
      </w:r>
      <w:r>
        <w:rPr>
          <w:lang w:val="fr-FR"/>
        </w:rPr>
        <w:t>aurait pu obtenir le permis de construire qu</w:t>
      </w:r>
      <w:r w:rsidR="00636A28">
        <w:rPr>
          <w:lang w:val="fr-FR"/>
        </w:rPr>
        <w:t>’</w:t>
      </w:r>
      <w:r>
        <w:rPr>
          <w:lang w:val="fr-FR"/>
        </w:rPr>
        <w:t>en novembre 2001 (paragraphe 20 ci-dessus), « alors qu</w:t>
      </w:r>
      <w:r w:rsidR="00636A28">
        <w:rPr>
          <w:lang w:val="fr-FR"/>
        </w:rPr>
        <w:t>’</w:t>
      </w:r>
      <w:r>
        <w:rPr>
          <w:lang w:val="fr-FR"/>
        </w:rPr>
        <w:t>il n</w:t>
      </w:r>
      <w:r w:rsidR="00636A28">
        <w:rPr>
          <w:lang w:val="fr-FR"/>
        </w:rPr>
        <w:t>’</w:t>
      </w:r>
      <w:r>
        <w:rPr>
          <w:lang w:val="fr-FR"/>
        </w:rPr>
        <w:t>avait plus aucune utilité ni pertinence », aurait été contrainte de supporter une charge exorbitante.</w:t>
      </w:r>
    </w:p>
    <w:p w:rsidR="000D6569" w:rsidRDefault="000D6569" w:rsidP="000D6569">
      <w:pPr>
        <w:pStyle w:val="ECHRHeading3"/>
        <w:rPr>
          <w:lang w:val="fr-FR"/>
        </w:rPr>
      </w:pPr>
      <w:r>
        <w:rPr>
          <w:lang w:val="fr-FR"/>
        </w:rPr>
        <w:lastRenderedPageBreak/>
        <w:t>2.  Le Gouvernement</w:t>
      </w:r>
    </w:p>
    <w:p w:rsidR="000D6569" w:rsidRDefault="000D6569" w:rsidP="000D6569">
      <w:pPr>
        <w:pStyle w:val="ECHRPara"/>
        <w:rPr>
          <w:lang w:val="fr-FR"/>
        </w:rPr>
      </w:pPr>
      <w:r>
        <w:rPr>
          <w:lang w:val="fr-FR"/>
        </w:rPr>
        <w:t>37.  Le Gouvernement observe tout d</w:t>
      </w:r>
      <w:r w:rsidR="00636A28">
        <w:rPr>
          <w:lang w:val="fr-FR"/>
        </w:rPr>
        <w:t>’</w:t>
      </w:r>
      <w:r>
        <w:rPr>
          <w:lang w:val="fr-FR"/>
        </w:rPr>
        <w:t>abord que le droit de construire sur son propre terrain (</w:t>
      </w:r>
      <w:r>
        <w:rPr>
          <w:i/>
          <w:lang w:val="fr-FR"/>
        </w:rPr>
        <w:t>jus aedificandi</w:t>
      </w:r>
      <w:r>
        <w:rPr>
          <w:lang w:val="fr-FR"/>
        </w:rPr>
        <w:t>) n</w:t>
      </w:r>
      <w:r w:rsidR="00636A28">
        <w:rPr>
          <w:lang w:val="fr-FR"/>
        </w:rPr>
        <w:t>’</w:t>
      </w:r>
      <w:r>
        <w:rPr>
          <w:lang w:val="fr-FR"/>
        </w:rPr>
        <w:t>est pas absolu, puisqu</w:t>
      </w:r>
      <w:r w:rsidR="00636A28">
        <w:rPr>
          <w:lang w:val="fr-FR"/>
        </w:rPr>
        <w:t>’</w:t>
      </w:r>
      <w:r>
        <w:rPr>
          <w:lang w:val="fr-FR"/>
        </w:rPr>
        <w:t>il est soumis à une autorisation préalable, le permis de construire. L</w:t>
      </w:r>
      <w:r w:rsidR="00636A28">
        <w:rPr>
          <w:lang w:val="fr-FR"/>
        </w:rPr>
        <w:t>’</w:t>
      </w:r>
      <w:r>
        <w:rPr>
          <w:lang w:val="fr-FR"/>
        </w:rPr>
        <w:t>autorité administrative doit notamment vérifier si le projet de construction est compatible avec la législation urbanistique en vigueur. L</w:t>
      </w:r>
      <w:r w:rsidR="00636A28">
        <w:rPr>
          <w:lang w:val="fr-FR"/>
        </w:rPr>
        <w:t>’</w:t>
      </w:r>
      <w:r>
        <w:rPr>
          <w:lang w:val="fr-FR"/>
        </w:rPr>
        <w:t>intérêt du propriétaire du terrain doit donc être mis en balance avec l</w:t>
      </w:r>
      <w:r w:rsidR="00636A28">
        <w:rPr>
          <w:lang w:val="fr-FR"/>
        </w:rPr>
        <w:t>’</w:t>
      </w:r>
      <w:r>
        <w:rPr>
          <w:lang w:val="fr-FR"/>
        </w:rPr>
        <w:t>intérêt public à une utilisation ordonnée du territoire.</w:t>
      </w:r>
    </w:p>
    <w:p w:rsidR="000D6569" w:rsidRDefault="000D6569" w:rsidP="000D6569">
      <w:pPr>
        <w:pStyle w:val="ECHRPara"/>
        <w:rPr>
          <w:lang w:val="fr-FR"/>
        </w:rPr>
      </w:pPr>
      <w:bookmarkStart w:id="22" w:name="Gvtdicenodiritto"/>
      <w:r>
        <w:rPr>
          <w:lang w:val="fr-FR"/>
        </w:rPr>
        <w:t>38</w:t>
      </w:r>
      <w:bookmarkEnd w:id="22"/>
      <w:r>
        <w:rPr>
          <w:lang w:val="fr-FR"/>
        </w:rPr>
        <w:t>.  Le Gouvernement expose de surcroît qu</w:t>
      </w:r>
      <w:r w:rsidR="00636A28">
        <w:rPr>
          <w:lang w:val="fr-FR"/>
        </w:rPr>
        <w:t>’</w:t>
      </w:r>
      <w:r>
        <w:rPr>
          <w:lang w:val="fr-FR"/>
        </w:rPr>
        <w:t>un jugement du TAR annulant le refus d</w:t>
      </w:r>
      <w:r w:rsidR="00636A28">
        <w:rPr>
          <w:lang w:val="fr-FR"/>
        </w:rPr>
        <w:t>’</w:t>
      </w:r>
      <w:r>
        <w:rPr>
          <w:lang w:val="fr-FR"/>
        </w:rPr>
        <w:t>octroyer un permis de construire n</w:t>
      </w:r>
      <w:r w:rsidR="00636A28">
        <w:rPr>
          <w:lang w:val="fr-FR"/>
        </w:rPr>
        <w:t>’</w:t>
      </w:r>
      <w:r>
        <w:rPr>
          <w:lang w:val="fr-FR"/>
        </w:rPr>
        <w:t>oblige pas automatiquement l</w:t>
      </w:r>
      <w:r w:rsidR="00636A28">
        <w:rPr>
          <w:lang w:val="fr-FR"/>
        </w:rPr>
        <w:t>’</w:t>
      </w:r>
      <w:r>
        <w:rPr>
          <w:lang w:val="fr-FR"/>
        </w:rPr>
        <w:t>autorité administrative à délivrer le permis en question. D</w:t>
      </w:r>
      <w:r w:rsidR="00636A28">
        <w:rPr>
          <w:lang w:val="fr-FR"/>
        </w:rPr>
        <w:t>’</w:t>
      </w:r>
      <w:r>
        <w:rPr>
          <w:lang w:val="fr-FR"/>
        </w:rPr>
        <w:t>autres obstacles peuvent en effet s</w:t>
      </w:r>
      <w:r w:rsidR="00636A28">
        <w:rPr>
          <w:lang w:val="fr-FR"/>
        </w:rPr>
        <w:t>’</w:t>
      </w:r>
      <w:r>
        <w:rPr>
          <w:lang w:val="fr-FR"/>
        </w:rPr>
        <w:t>y opposer. En l</w:t>
      </w:r>
      <w:r w:rsidR="00636A28">
        <w:rPr>
          <w:lang w:val="fr-FR"/>
        </w:rPr>
        <w:t>’</w:t>
      </w:r>
      <w:r>
        <w:rPr>
          <w:lang w:val="fr-FR"/>
        </w:rPr>
        <w:t>espèce, dans son jugement du 17 décembre 1992 (paragraphes 11-12 ci-dessus), le TAR de la Ligure a dit que l</w:t>
      </w:r>
      <w:r w:rsidR="00636A28">
        <w:rPr>
          <w:lang w:val="fr-FR"/>
        </w:rPr>
        <w:t>’</w:t>
      </w:r>
      <w:r>
        <w:rPr>
          <w:lang w:val="fr-FR"/>
        </w:rPr>
        <w:t>allégation de l</w:t>
      </w:r>
      <w:r w:rsidR="00636A28">
        <w:rPr>
          <w:lang w:val="fr-FR"/>
        </w:rPr>
        <w:t>’</w:t>
      </w:r>
      <w:r>
        <w:rPr>
          <w:lang w:val="fr-FR"/>
        </w:rPr>
        <w:t>administration, selon laquelle la requérante n</w:t>
      </w:r>
      <w:r w:rsidR="00636A28">
        <w:rPr>
          <w:lang w:val="fr-FR"/>
        </w:rPr>
        <w:t>’</w:t>
      </w:r>
      <w:r>
        <w:rPr>
          <w:lang w:val="fr-FR"/>
        </w:rPr>
        <w:t>avait pas présenté tous les documents nécessaires, n</w:t>
      </w:r>
      <w:r w:rsidR="00636A28">
        <w:rPr>
          <w:lang w:val="fr-FR"/>
        </w:rPr>
        <w:t>’</w:t>
      </w:r>
      <w:r>
        <w:rPr>
          <w:lang w:val="fr-FR"/>
        </w:rPr>
        <w:t>était pas correcte. Il s</w:t>
      </w:r>
      <w:r w:rsidR="00636A28">
        <w:rPr>
          <w:lang w:val="fr-FR"/>
        </w:rPr>
        <w:t>’</w:t>
      </w:r>
      <w:r>
        <w:rPr>
          <w:lang w:val="fr-FR"/>
        </w:rPr>
        <w:t>agissait donc d</w:t>
      </w:r>
      <w:r w:rsidR="00636A28">
        <w:rPr>
          <w:lang w:val="fr-FR"/>
        </w:rPr>
        <w:t>’</w:t>
      </w:r>
      <w:r>
        <w:rPr>
          <w:lang w:val="fr-FR"/>
        </w:rPr>
        <w:t>une annulation du refus pour des raisons formelles, ce qui n</w:t>
      </w:r>
      <w:r w:rsidR="00636A28">
        <w:rPr>
          <w:lang w:val="fr-FR"/>
        </w:rPr>
        <w:t>’</w:t>
      </w:r>
      <w:r>
        <w:rPr>
          <w:lang w:val="fr-FR"/>
        </w:rPr>
        <w:t>empêchait pas l</w:t>
      </w:r>
      <w:r w:rsidR="00636A28">
        <w:rPr>
          <w:lang w:val="fr-FR"/>
        </w:rPr>
        <w:t>’</w:t>
      </w:r>
      <w:r>
        <w:rPr>
          <w:lang w:val="fr-FR"/>
        </w:rPr>
        <w:t>administration d</w:t>
      </w:r>
      <w:r w:rsidR="00636A28">
        <w:rPr>
          <w:lang w:val="fr-FR"/>
        </w:rPr>
        <w:t>’</w:t>
      </w:r>
      <w:r>
        <w:rPr>
          <w:lang w:val="fr-FR"/>
        </w:rPr>
        <w:t>opposer un nouveau refus pour des raisons liées au respect des règles d</w:t>
      </w:r>
      <w:r w:rsidR="00636A28">
        <w:rPr>
          <w:lang w:val="fr-FR"/>
        </w:rPr>
        <w:t>’</w:t>
      </w:r>
      <w:r>
        <w:rPr>
          <w:lang w:val="fr-FR"/>
        </w:rPr>
        <w:t>urbanisme. En 1992, le TAR n</w:t>
      </w:r>
      <w:r w:rsidR="00636A28">
        <w:rPr>
          <w:lang w:val="fr-FR"/>
        </w:rPr>
        <w:t>’</w:t>
      </w:r>
      <w:r>
        <w:rPr>
          <w:lang w:val="fr-FR"/>
        </w:rPr>
        <w:t>avait pas affirmé que la demande de la requérante satisfaisait à toutes les exigences posées par ces règles, et il était loisible à la municipalité de Sanremo de rejeter une deuxième fois la demande de permis de construire à condition que la raison invoquée ne fût pas l</w:t>
      </w:r>
      <w:r w:rsidR="00636A28">
        <w:rPr>
          <w:lang w:val="fr-FR"/>
        </w:rPr>
        <w:t>’</w:t>
      </w:r>
      <w:r>
        <w:rPr>
          <w:lang w:val="fr-FR"/>
        </w:rPr>
        <w:t>absence des documents pertinents. Selon le Gouvernement, seul le jugement du TAR du 10 décembre 1999 (paragraphes 17-18 ci-dessus), établissant que le refus de l</w:t>
      </w:r>
      <w:r w:rsidR="00636A28">
        <w:rPr>
          <w:lang w:val="fr-FR"/>
        </w:rPr>
        <w:t>’</w:t>
      </w:r>
      <w:r>
        <w:rPr>
          <w:lang w:val="fr-FR"/>
        </w:rPr>
        <w:t>administration ne se fondait sur aucun motif valable, obligeait la municipalité à délivrer le permis, ce qu</w:t>
      </w:r>
      <w:r w:rsidR="00636A28">
        <w:rPr>
          <w:lang w:val="fr-FR"/>
        </w:rPr>
        <w:t>’</w:t>
      </w:r>
      <w:r>
        <w:rPr>
          <w:lang w:val="fr-FR"/>
        </w:rPr>
        <w:t>elle était prête à faire en</w:t>
      </w:r>
      <w:r w:rsidR="00EC334C">
        <w:rPr>
          <w:lang w:val="fr-FR"/>
        </w:rPr>
        <w:t xml:space="preserve"> </w:t>
      </w:r>
      <w:r>
        <w:rPr>
          <w:lang w:val="fr-FR"/>
        </w:rPr>
        <w:t xml:space="preserve">novembre 2001 (paragraphe </w:t>
      </w:r>
      <w:r w:rsidR="00076FEF">
        <w:rPr>
          <w:lang w:val="fr-FR"/>
        </w:rPr>
        <w:t>20 ci</w:t>
      </w:r>
      <w:r w:rsidR="00076FEF">
        <w:rPr>
          <w:lang w:val="fr-FR"/>
        </w:rPr>
        <w:noBreakHyphen/>
      </w:r>
      <w:r>
        <w:rPr>
          <w:lang w:val="fr-FR"/>
        </w:rPr>
        <w:t>dessus).</w:t>
      </w:r>
    </w:p>
    <w:p w:rsidR="000D6569" w:rsidRDefault="000D6569" w:rsidP="000D6569">
      <w:pPr>
        <w:pStyle w:val="ECHRPara"/>
        <w:rPr>
          <w:lang w:val="fr-FR"/>
        </w:rPr>
      </w:pPr>
      <w:r>
        <w:rPr>
          <w:lang w:val="fr-FR"/>
        </w:rPr>
        <w:t>39.  Le Gouvernement note que les deux premières demandes de permis ont été rejetées pour des raisons que la requérante n</w:t>
      </w:r>
      <w:r w:rsidR="00636A28">
        <w:rPr>
          <w:lang w:val="fr-FR"/>
        </w:rPr>
        <w:t>’</w:t>
      </w:r>
      <w:r>
        <w:rPr>
          <w:lang w:val="fr-FR"/>
        </w:rPr>
        <w:t>a pas contesté devant les juridictions administratives. La troisième demande a été refusée pour manque de documents et la demande suivante car la municipalité estimait que le projet de la requérante se heurtait aux règles d</w:t>
      </w:r>
      <w:r w:rsidR="00636A28">
        <w:rPr>
          <w:lang w:val="fr-FR"/>
        </w:rPr>
        <w:t>’</w:t>
      </w:r>
      <w:r>
        <w:rPr>
          <w:lang w:val="fr-FR"/>
        </w:rPr>
        <w:t xml:space="preserve">urbanisme en vigueur. </w:t>
      </w:r>
      <w:r>
        <w:rPr>
          <w:rFonts w:cstheme="minorHAnsi"/>
          <w:lang w:val="fr-FR"/>
        </w:rPr>
        <w:t>À</w:t>
      </w:r>
      <w:r>
        <w:rPr>
          <w:lang w:val="fr-FR"/>
        </w:rPr>
        <w:t xml:space="preserve"> cet égard, le Gouvernement observe qu</w:t>
      </w:r>
      <w:r w:rsidR="00636A28">
        <w:rPr>
          <w:lang w:val="fr-FR"/>
        </w:rPr>
        <w:t>’</w:t>
      </w:r>
      <w:r>
        <w:rPr>
          <w:lang w:val="fr-FR"/>
        </w:rPr>
        <w:t>il ressort d</w:t>
      </w:r>
      <w:r w:rsidR="00636A28">
        <w:rPr>
          <w:lang w:val="fr-FR"/>
        </w:rPr>
        <w:t>’</w:t>
      </w:r>
      <w:r>
        <w:rPr>
          <w:lang w:val="fr-FR"/>
        </w:rPr>
        <w:t>une lecture de la décision du Conseil d</w:t>
      </w:r>
      <w:r w:rsidR="00636A28">
        <w:rPr>
          <w:lang w:val="fr-FR"/>
        </w:rPr>
        <w:t>’</w:t>
      </w:r>
      <w:r>
        <w:rPr>
          <w:lang w:val="fr-FR"/>
        </w:rPr>
        <w:t>État du 20</w:t>
      </w:r>
      <w:r w:rsidR="00EC334C">
        <w:rPr>
          <w:lang w:val="fr-FR"/>
        </w:rPr>
        <w:t xml:space="preserve"> </w:t>
      </w:r>
      <w:r>
        <w:rPr>
          <w:lang w:val="fr-FR"/>
        </w:rPr>
        <w:t>janvier 2009 (paragraphes 25-30 ci-dessus) que la municipalité excipait notamment que le projet litigieux impliquait une excavation importante, susceptible d</w:t>
      </w:r>
      <w:r w:rsidR="00636A28">
        <w:rPr>
          <w:lang w:val="fr-FR"/>
        </w:rPr>
        <w:t>’</w:t>
      </w:r>
      <w:r>
        <w:rPr>
          <w:lang w:val="fr-FR"/>
        </w:rPr>
        <w:t>affecter l</w:t>
      </w:r>
      <w:r w:rsidR="00636A28">
        <w:rPr>
          <w:lang w:val="fr-FR"/>
        </w:rPr>
        <w:t>’</w:t>
      </w:r>
      <w:r>
        <w:rPr>
          <w:lang w:val="fr-FR"/>
        </w:rPr>
        <w:t>usage urbanistique de la zone concernée ; dès lors, elle pouvait être autorisée seulement sur la base d</w:t>
      </w:r>
      <w:r w:rsidR="00636A28">
        <w:rPr>
          <w:lang w:val="fr-FR"/>
        </w:rPr>
        <w:t>’</w:t>
      </w:r>
      <w:r>
        <w:rPr>
          <w:lang w:val="fr-FR"/>
        </w:rPr>
        <w:t>un plan détaillé, qui cependant n</w:t>
      </w:r>
      <w:r w:rsidR="00636A28">
        <w:rPr>
          <w:lang w:val="fr-FR"/>
        </w:rPr>
        <w:t>’</w:t>
      </w:r>
      <w:r>
        <w:rPr>
          <w:lang w:val="fr-FR"/>
        </w:rPr>
        <w:t>existait pas.</w:t>
      </w:r>
    </w:p>
    <w:p w:rsidR="000D6569" w:rsidRPr="007A4F21" w:rsidRDefault="000D6569" w:rsidP="000D6569">
      <w:pPr>
        <w:pStyle w:val="ECHRPara"/>
        <w:rPr>
          <w:lang w:val="fr-FR"/>
        </w:rPr>
      </w:pPr>
      <w:r>
        <w:rPr>
          <w:lang w:val="fr-FR"/>
        </w:rPr>
        <w:t>40.  Dans la même décision, le Conseil d</w:t>
      </w:r>
      <w:r w:rsidR="00636A28">
        <w:rPr>
          <w:lang w:val="fr-FR"/>
        </w:rPr>
        <w:t>’</w:t>
      </w:r>
      <w:r>
        <w:rPr>
          <w:lang w:val="fr-FR"/>
        </w:rPr>
        <w:t>État n</w:t>
      </w:r>
      <w:r w:rsidR="00636A28">
        <w:rPr>
          <w:lang w:val="fr-FR"/>
        </w:rPr>
        <w:t>’</w:t>
      </w:r>
      <w:r>
        <w:rPr>
          <w:lang w:val="fr-FR"/>
        </w:rPr>
        <w:t>a pas critiqué l</w:t>
      </w:r>
      <w:r w:rsidR="00636A28">
        <w:rPr>
          <w:lang w:val="fr-FR"/>
        </w:rPr>
        <w:t>’</w:t>
      </w:r>
      <w:r>
        <w:rPr>
          <w:lang w:val="fr-FR"/>
        </w:rPr>
        <w:t>interprétation donnée par la municipalité à l</w:t>
      </w:r>
      <w:r w:rsidR="00636A28">
        <w:rPr>
          <w:lang w:val="fr-FR"/>
        </w:rPr>
        <w:t>’</w:t>
      </w:r>
      <w:r>
        <w:rPr>
          <w:lang w:val="fr-FR"/>
        </w:rPr>
        <w:t>article 24 du PRG, à savoir que ladite disposition n</w:t>
      </w:r>
      <w:r w:rsidR="00636A28">
        <w:rPr>
          <w:lang w:val="fr-FR"/>
        </w:rPr>
        <w:t>’</w:t>
      </w:r>
      <w:r>
        <w:rPr>
          <w:lang w:val="fr-FR"/>
        </w:rPr>
        <w:t>autorisait des permis de construire que pour des locaux enterrés de dimensions modestes</w:t>
      </w:r>
      <w:r w:rsidR="00EC334C">
        <w:rPr>
          <w:lang w:val="fr-FR"/>
        </w:rPr>
        <w:t xml:space="preserve"> </w:t>
      </w:r>
      <w:r>
        <w:rPr>
          <w:lang w:val="fr-FR"/>
        </w:rPr>
        <w:t>(v</w:t>
      </w:r>
      <w:r w:rsidR="00EC334C">
        <w:rPr>
          <w:lang w:val="fr-FR"/>
        </w:rPr>
        <w:t>oir, notamment, les paragraphes </w:t>
      </w:r>
      <w:r>
        <w:rPr>
          <w:lang w:val="fr-FR"/>
        </w:rPr>
        <w:t>27-28 ci-dessus). Selon le Gouvernement, il en découlerait que le rejet de la demande de permis de construire du 29</w:t>
      </w:r>
      <w:r w:rsidR="00EC334C">
        <w:rPr>
          <w:lang w:val="fr-FR"/>
        </w:rPr>
        <w:t xml:space="preserve"> </w:t>
      </w:r>
      <w:r>
        <w:rPr>
          <w:lang w:val="fr-FR"/>
        </w:rPr>
        <w:t xml:space="preserve">juillet 1994 était légal, </w:t>
      </w:r>
      <w:r>
        <w:rPr>
          <w:lang w:val="fr-FR"/>
        </w:rPr>
        <w:lastRenderedPageBreak/>
        <w:t>puisqu</w:t>
      </w:r>
      <w:r w:rsidR="00636A28">
        <w:rPr>
          <w:lang w:val="fr-FR"/>
        </w:rPr>
        <w:t>’</w:t>
      </w:r>
      <w:r>
        <w:rPr>
          <w:lang w:val="fr-FR"/>
        </w:rPr>
        <w:t>il était basé sur l</w:t>
      </w:r>
      <w:r w:rsidR="00636A28">
        <w:rPr>
          <w:lang w:val="fr-FR"/>
        </w:rPr>
        <w:t>’</w:t>
      </w:r>
      <w:r>
        <w:rPr>
          <w:lang w:val="fr-FR"/>
        </w:rPr>
        <w:t>une des possibles interprétations de l</w:t>
      </w:r>
      <w:r w:rsidR="00636A28">
        <w:rPr>
          <w:lang w:val="fr-FR"/>
        </w:rPr>
        <w:t>’</w:t>
      </w:r>
      <w:r>
        <w:rPr>
          <w:lang w:val="fr-FR"/>
        </w:rPr>
        <w:t>article 24 précité. Le Conseil d</w:t>
      </w:r>
      <w:r w:rsidR="00636A28">
        <w:rPr>
          <w:lang w:val="fr-FR"/>
        </w:rPr>
        <w:t>’</w:t>
      </w:r>
      <w:r>
        <w:rPr>
          <w:lang w:val="fr-FR"/>
        </w:rPr>
        <w:t>État aurait en substance considé</w:t>
      </w:r>
      <w:r w:rsidR="00076FEF">
        <w:rPr>
          <w:lang w:val="fr-FR"/>
        </w:rPr>
        <w:t>ré que le jugement du TAR du 10</w:t>
      </w:r>
      <w:r w:rsidR="00EC334C">
        <w:rPr>
          <w:lang w:val="fr-FR"/>
        </w:rPr>
        <w:t xml:space="preserve"> </w:t>
      </w:r>
      <w:r>
        <w:rPr>
          <w:lang w:val="fr-FR"/>
        </w:rPr>
        <w:t>décembre 1999 se fondait sur une interprétation erronée de la disposition litigieuse. De toute manière, la municipalité était prête à délivrer le permis, et on ne saurait conclure qu</w:t>
      </w:r>
      <w:r w:rsidR="00636A28">
        <w:rPr>
          <w:lang w:val="fr-FR"/>
        </w:rPr>
        <w:t>’</w:t>
      </w:r>
      <w:r>
        <w:rPr>
          <w:lang w:val="fr-FR"/>
        </w:rPr>
        <w:t>elle ait refusé de donner exécution à des décisions de justice définitives.</w:t>
      </w:r>
    </w:p>
    <w:p w:rsidR="000D6569" w:rsidRDefault="000D6569" w:rsidP="000D6569">
      <w:pPr>
        <w:pStyle w:val="ECHRPara"/>
        <w:rPr>
          <w:lang w:val="fr-FR"/>
        </w:rPr>
      </w:pPr>
      <w:r>
        <w:rPr>
          <w:lang w:val="fr-FR"/>
        </w:rPr>
        <w:t>41.  De l</w:t>
      </w:r>
      <w:r w:rsidR="00636A28">
        <w:rPr>
          <w:lang w:val="fr-FR"/>
        </w:rPr>
        <w:t>’</w:t>
      </w:r>
      <w:r>
        <w:rPr>
          <w:lang w:val="fr-FR"/>
        </w:rPr>
        <w:t>avis du Gouvernement, la Cour ne devrait pas réexaminer les questions relatives à l</w:t>
      </w:r>
      <w:r w:rsidR="00636A28">
        <w:rPr>
          <w:lang w:val="fr-FR"/>
        </w:rPr>
        <w:t>’</w:t>
      </w:r>
      <w:r>
        <w:rPr>
          <w:lang w:val="fr-FR"/>
        </w:rPr>
        <w:t>interprétation du droit de construire de la requérante. En tout état de cause, le grief de l</w:t>
      </w:r>
      <w:r w:rsidR="00636A28">
        <w:rPr>
          <w:lang w:val="fr-FR"/>
        </w:rPr>
        <w:t>’</w:t>
      </w:r>
      <w:r>
        <w:rPr>
          <w:lang w:val="fr-FR"/>
        </w:rPr>
        <w:t xml:space="preserve">intéressée serait manifestement mal </w:t>
      </w:r>
      <w:proofErr w:type="gramStart"/>
      <w:r>
        <w:rPr>
          <w:lang w:val="fr-FR"/>
        </w:rPr>
        <w:t>fondé</w:t>
      </w:r>
      <w:proofErr w:type="gramEnd"/>
      <w:r>
        <w:rPr>
          <w:lang w:val="fr-FR"/>
        </w:rPr>
        <w:t xml:space="preserve"> car les décisions de l</w:t>
      </w:r>
      <w:r w:rsidR="00636A28">
        <w:rPr>
          <w:lang w:val="fr-FR"/>
        </w:rPr>
        <w:t>’</w:t>
      </w:r>
      <w:r>
        <w:rPr>
          <w:lang w:val="fr-FR"/>
        </w:rPr>
        <w:t>administration visaient à sauvegarder l</w:t>
      </w:r>
      <w:r w:rsidR="00636A28">
        <w:rPr>
          <w:lang w:val="fr-FR"/>
        </w:rPr>
        <w:t>’</w:t>
      </w:r>
      <w:r>
        <w:rPr>
          <w:lang w:val="fr-FR"/>
        </w:rPr>
        <w:t>intérêt collectif à un usage ordonné du territoire et étaient fondées sur la législation urbanistique pertinente.</w:t>
      </w:r>
    </w:p>
    <w:p w:rsidR="000D6569" w:rsidRDefault="000D6569" w:rsidP="000D6569">
      <w:pPr>
        <w:pStyle w:val="ECHRHeading2"/>
        <w:rPr>
          <w:lang w:val="fr-FR"/>
        </w:rPr>
      </w:pPr>
      <w:r>
        <w:rPr>
          <w:lang w:val="fr-FR"/>
        </w:rPr>
        <w:t>B.</w:t>
      </w:r>
      <w:proofErr w:type="gramStart"/>
      <w:r>
        <w:rPr>
          <w:lang w:val="fr-FR"/>
        </w:rPr>
        <w:t>  Appréciation</w:t>
      </w:r>
      <w:proofErr w:type="gramEnd"/>
      <w:r>
        <w:rPr>
          <w:lang w:val="fr-FR"/>
        </w:rPr>
        <w:t xml:space="preserve"> de la Cour</w:t>
      </w:r>
    </w:p>
    <w:p w:rsidR="000D6569" w:rsidRDefault="000D6569" w:rsidP="000D6569">
      <w:pPr>
        <w:pStyle w:val="ECHRPara"/>
        <w:rPr>
          <w:lang w:val="fr-FR"/>
        </w:rPr>
      </w:pPr>
      <w:r>
        <w:rPr>
          <w:lang w:val="fr-FR"/>
        </w:rPr>
        <w:t>42.  La Cour observe d</w:t>
      </w:r>
      <w:r w:rsidR="00636A28">
        <w:rPr>
          <w:lang w:val="fr-FR"/>
        </w:rPr>
        <w:t>’</w:t>
      </w:r>
      <w:r>
        <w:rPr>
          <w:lang w:val="fr-FR"/>
        </w:rPr>
        <w:t>emblée que les juridictions administratives ont rendu plusieurs décisions dans l</w:t>
      </w:r>
      <w:r w:rsidR="00636A28">
        <w:rPr>
          <w:lang w:val="fr-FR"/>
        </w:rPr>
        <w:t>’</w:t>
      </w:r>
      <w:r>
        <w:rPr>
          <w:lang w:val="fr-FR"/>
        </w:rPr>
        <w:t>affaire de la requérante. Parmi ces décisions, seul celle du Conseil d</w:t>
      </w:r>
      <w:r w:rsidR="00636A28">
        <w:rPr>
          <w:lang w:val="fr-FR"/>
        </w:rPr>
        <w:t>’</w:t>
      </w:r>
      <w:r>
        <w:rPr>
          <w:lang w:val="fr-FR"/>
        </w:rPr>
        <w:t>État a été déposée au greffe moins de six mois avant la date d</w:t>
      </w:r>
      <w:r w:rsidR="00636A28">
        <w:rPr>
          <w:lang w:val="fr-FR"/>
        </w:rPr>
        <w:t>’</w:t>
      </w:r>
      <w:r>
        <w:rPr>
          <w:lang w:val="fr-FR"/>
        </w:rPr>
        <w:t>introduction de la requête (21 octobre 2009). Cependant, la décision en question ne portait pas sur l</w:t>
      </w:r>
      <w:r w:rsidR="00636A28">
        <w:rPr>
          <w:lang w:val="fr-FR"/>
        </w:rPr>
        <w:t>’</w:t>
      </w:r>
      <w:r>
        <w:rPr>
          <w:lang w:val="fr-FR"/>
        </w:rPr>
        <w:t>annulation des rejets des demandes de permis de construire de la requérante, mais concernait uniquement l</w:t>
      </w:r>
      <w:r w:rsidR="00636A28">
        <w:rPr>
          <w:lang w:val="fr-FR"/>
        </w:rPr>
        <w:t>’</w:t>
      </w:r>
      <w:r>
        <w:rPr>
          <w:lang w:val="fr-FR"/>
        </w:rPr>
        <w:t>éventuel droit à dédommagement de l</w:t>
      </w:r>
      <w:r w:rsidR="00636A28">
        <w:rPr>
          <w:lang w:val="fr-FR"/>
        </w:rPr>
        <w:t>’</w:t>
      </w:r>
      <w:r>
        <w:rPr>
          <w:lang w:val="fr-FR"/>
        </w:rPr>
        <w:t>intéressée en raison de ces rejets réitérés (paragraphes 25-30 ci-dessus). Dès lors, la question pourrait se poser de savoir si</w:t>
      </w:r>
      <w:r w:rsidRPr="002759AE">
        <w:rPr>
          <w:lang w:val="fr-FR"/>
        </w:rPr>
        <w:t xml:space="preserve"> </w:t>
      </w:r>
      <w:r>
        <w:rPr>
          <w:lang w:val="fr-FR"/>
        </w:rPr>
        <w:t>la requête est tardive dans la mesure où elle porte sur le refus d</w:t>
      </w:r>
      <w:r w:rsidR="00636A28">
        <w:rPr>
          <w:lang w:val="fr-FR"/>
        </w:rPr>
        <w:t>’</w:t>
      </w:r>
      <w:r>
        <w:rPr>
          <w:lang w:val="fr-FR"/>
        </w:rPr>
        <w:t>octroyer les permis litigieux.</w:t>
      </w:r>
    </w:p>
    <w:p w:rsidR="000D6569" w:rsidRDefault="000D6569" w:rsidP="000D6569">
      <w:pPr>
        <w:pStyle w:val="ECHRPara"/>
        <w:rPr>
          <w:lang w:val="fr-FR"/>
        </w:rPr>
      </w:pPr>
      <w:r>
        <w:rPr>
          <w:lang w:val="fr-FR"/>
        </w:rPr>
        <w:t>43.  </w:t>
      </w:r>
      <w:r w:rsidRPr="00D44B4D">
        <w:rPr>
          <w:lang w:val="fr-FR"/>
        </w:rPr>
        <w:t>Néanmoins, dans les circonstances particulières de la présente affaire, la Cour n</w:t>
      </w:r>
      <w:r w:rsidR="00636A28">
        <w:rPr>
          <w:lang w:val="fr-FR"/>
        </w:rPr>
        <w:t>’</w:t>
      </w:r>
      <w:r w:rsidRPr="00D44B4D">
        <w:rPr>
          <w:lang w:val="fr-FR"/>
        </w:rPr>
        <w:t>estime pas nécessaire de trancher cette q</w:t>
      </w:r>
      <w:r w:rsidR="00076FEF">
        <w:rPr>
          <w:lang w:val="fr-FR"/>
        </w:rPr>
        <w:t xml:space="preserve">uestion car elle considère que les différentes procédures judiciaires de la requérante </w:t>
      </w:r>
      <w:r w:rsidRPr="00D44B4D">
        <w:rPr>
          <w:lang w:val="fr-FR"/>
        </w:rPr>
        <w:t>doivent être vues dans leur globalité et qu</w:t>
      </w:r>
      <w:r w:rsidR="00636A28">
        <w:rPr>
          <w:lang w:val="fr-FR"/>
        </w:rPr>
        <w:t>’</w:t>
      </w:r>
      <w:r w:rsidRPr="00D44B4D">
        <w:rPr>
          <w:lang w:val="fr-FR"/>
        </w:rPr>
        <w:t>en tout état de cause, la requête est irrecevable pour les raisons suivantes</w:t>
      </w:r>
      <w:r>
        <w:rPr>
          <w:lang w:val="fr-FR"/>
        </w:rPr>
        <w:t>.</w:t>
      </w:r>
    </w:p>
    <w:p w:rsidR="000D6569" w:rsidRDefault="000D6569" w:rsidP="000D6569">
      <w:pPr>
        <w:pStyle w:val="ECHRPara"/>
        <w:rPr>
          <w:lang w:val="fr-FR"/>
        </w:rPr>
      </w:pPr>
      <w:r>
        <w:rPr>
          <w:lang w:val="fr-FR"/>
        </w:rPr>
        <w:t>44.  La Cour note que la requérante a, depuis le 5</w:t>
      </w:r>
      <w:r w:rsidR="00EC334C">
        <w:rPr>
          <w:lang w:val="fr-FR"/>
        </w:rPr>
        <w:t xml:space="preserve"> </w:t>
      </w:r>
      <w:r>
        <w:rPr>
          <w:lang w:val="fr-FR"/>
        </w:rPr>
        <w:t>décembre 1984 (paragraphe 5 ci-dessus), sollicité à quatre reprises l</w:t>
      </w:r>
      <w:r w:rsidR="00636A28">
        <w:rPr>
          <w:lang w:val="fr-FR"/>
        </w:rPr>
        <w:t>’</w:t>
      </w:r>
      <w:r>
        <w:rPr>
          <w:lang w:val="fr-FR"/>
        </w:rPr>
        <w:t>octroi d</w:t>
      </w:r>
      <w:r w:rsidR="00636A28">
        <w:rPr>
          <w:lang w:val="fr-FR"/>
        </w:rPr>
        <w:t>’</w:t>
      </w:r>
      <w:r>
        <w:rPr>
          <w:lang w:val="fr-FR"/>
        </w:rPr>
        <w:t>un permis de construire un centre commercial sur son terrain. Elle s</w:t>
      </w:r>
      <w:r w:rsidR="00636A28">
        <w:rPr>
          <w:lang w:val="fr-FR"/>
        </w:rPr>
        <w:t>’</w:t>
      </w:r>
      <w:r>
        <w:rPr>
          <w:lang w:val="fr-FR"/>
        </w:rPr>
        <w:t>est heurtée à quatre refus et n</w:t>
      </w:r>
      <w:r w:rsidR="00636A28">
        <w:rPr>
          <w:lang w:val="fr-FR"/>
        </w:rPr>
        <w:t>’</w:t>
      </w:r>
      <w:r>
        <w:rPr>
          <w:lang w:val="fr-FR"/>
        </w:rPr>
        <w:t>aurait pu obtenir ledit permis qu</w:t>
      </w:r>
      <w:r w:rsidR="00636A28">
        <w:rPr>
          <w:lang w:val="fr-FR"/>
        </w:rPr>
        <w:t>’</w:t>
      </w:r>
      <w:r>
        <w:rPr>
          <w:lang w:val="fr-FR"/>
        </w:rPr>
        <w:t>en novembre 2001 (paragraphe 20 ci-dessus), soit environ dix-sept ans plus tard.</w:t>
      </w:r>
    </w:p>
    <w:p w:rsidR="000D6569" w:rsidRDefault="000D6569" w:rsidP="000D6569">
      <w:pPr>
        <w:pStyle w:val="ECHRPara"/>
        <w:rPr>
          <w:lang w:val="fr-FR"/>
        </w:rPr>
      </w:pPr>
      <w:proofErr w:type="gramStart"/>
      <w:r>
        <w:rPr>
          <w:lang w:val="fr-FR"/>
        </w:rPr>
        <w:t>45.  La Cour considère que les rejets réitérés des demandes de permis de construire et l</w:t>
      </w:r>
      <w:r w:rsidR="00636A28">
        <w:rPr>
          <w:lang w:val="fr-FR"/>
        </w:rPr>
        <w:t>’</w:t>
      </w:r>
      <w:r>
        <w:rPr>
          <w:lang w:val="fr-FR"/>
        </w:rPr>
        <w:t xml:space="preserve">octroi tardif de celui-ci </w:t>
      </w:r>
      <w:r w:rsidRPr="007E0A76">
        <w:rPr>
          <w:lang w:val="fr-FR"/>
        </w:rPr>
        <w:t xml:space="preserve">constituent une ingérence dans le droit de </w:t>
      </w:r>
      <w:r>
        <w:rPr>
          <w:lang w:val="fr-FR"/>
        </w:rPr>
        <w:t xml:space="preserve">la </w:t>
      </w:r>
      <w:r w:rsidRPr="007E0A76">
        <w:rPr>
          <w:lang w:val="fr-FR"/>
        </w:rPr>
        <w:t>requérant</w:t>
      </w:r>
      <w:r>
        <w:rPr>
          <w:lang w:val="fr-FR"/>
        </w:rPr>
        <w:t>e</w:t>
      </w:r>
      <w:r w:rsidRPr="007E0A76">
        <w:rPr>
          <w:lang w:val="fr-FR"/>
        </w:rPr>
        <w:t xml:space="preserve"> au respect de s</w:t>
      </w:r>
      <w:r>
        <w:rPr>
          <w:lang w:val="fr-FR"/>
        </w:rPr>
        <w:t>es</w:t>
      </w:r>
      <w:r w:rsidRPr="007E0A76">
        <w:rPr>
          <w:lang w:val="fr-FR"/>
        </w:rPr>
        <w:t xml:space="preserve"> biens (voir, </w:t>
      </w:r>
      <w:r w:rsidRPr="007E0A76">
        <w:rPr>
          <w:i/>
          <w:lang w:val="fr-FR"/>
        </w:rPr>
        <w:t>mutatis mutandis</w:t>
      </w:r>
      <w:r w:rsidRPr="007E0A76">
        <w:rPr>
          <w:lang w:val="fr-FR"/>
        </w:rPr>
        <w:t xml:space="preserve">, </w:t>
      </w:r>
      <w:r w:rsidRPr="007E0A76">
        <w:rPr>
          <w:i/>
          <w:lang w:val="fr-FR"/>
        </w:rPr>
        <w:t xml:space="preserve">Casa </w:t>
      </w:r>
      <w:proofErr w:type="spellStart"/>
      <w:r w:rsidRPr="007E0A76">
        <w:rPr>
          <w:i/>
          <w:lang w:val="fr-FR"/>
        </w:rPr>
        <w:t>Missionaria</w:t>
      </w:r>
      <w:proofErr w:type="spellEnd"/>
      <w:r w:rsidRPr="007E0A76">
        <w:rPr>
          <w:i/>
          <w:lang w:val="fr-FR"/>
        </w:rPr>
        <w:t xml:space="preserve"> per le </w:t>
      </w:r>
      <w:proofErr w:type="spellStart"/>
      <w:r w:rsidRPr="007E0A76">
        <w:rPr>
          <w:i/>
          <w:lang w:val="fr-FR"/>
        </w:rPr>
        <w:t>Missioni</w:t>
      </w:r>
      <w:proofErr w:type="spellEnd"/>
      <w:r w:rsidRPr="007E0A76">
        <w:rPr>
          <w:i/>
          <w:lang w:val="fr-FR"/>
        </w:rPr>
        <w:t xml:space="preserve"> </w:t>
      </w:r>
      <w:proofErr w:type="spellStart"/>
      <w:r w:rsidRPr="007E0A76">
        <w:rPr>
          <w:i/>
          <w:lang w:val="fr-FR"/>
        </w:rPr>
        <w:t>estere</w:t>
      </w:r>
      <w:proofErr w:type="spellEnd"/>
      <w:r w:rsidRPr="007E0A76">
        <w:rPr>
          <w:i/>
          <w:lang w:val="fr-FR"/>
        </w:rPr>
        <w:t xml:space="preserve"> di </w:t>
      </w:r>
      <w:proofErr w:type="spellStart"/>
      <w:r w:rsidRPr="007E0A76">
        <w:rPr>
          <w:i/>
          <w:lang w:val="fr-FR"/>
        </w:rPr>
        <w:t>Steyl</w:t>
      </w:r>
      <w:proofErr w:type="spellEnd"/>
      <w:r w:rsidRPr="007E0A76">
        <w:rPr>
          <w:i/>
          <w:lang w:val="fr-FR"/>
        </w:rPr>
        <w:t xml:space="preserve"> c. Italie</w:t>
      </w:r>
      <w:r w:rsidRPr="007E0A76">
        <w:rPr>
          <w:lang w:val="fr-FR"/>
        </w:rPr>
        <w:t xml:space="preserve"> (déc.), n</w:t>
      </w:r>
      <w:r w:rsidRPr="007E0A76">
        <w:rPr>
          <w:vertAlign w:val="superscript"/>
          <w:lang w:val="fr-FR"/>
        </w:rPr>
        <w:t>o</w:t>
      </w:r>
      <w:r w:rsidRPr="007E0A76">
        <w:rPr>
          <w:lang w:val="fr-FR"/>
        </w:rPr>
        <w:t xml:space="preserve"> 75248/01, 13</w:t>
      </w:r>
      <w:r>
        <w:rPr>
          <w:lang w:val="fr-FR"/>
        </w:rPr>
        <w:t> </w:t>
      </w:r>
      <w:r w:rsidRPr="007E0A76">
        <w:rPr>
          <w:lang w:val="fr-FR"/>
        </w:rPr>
        <w:t>mai 2004</w:t>
      </w:r>
      <w:r>
        <w:rPr>
          <w:lang w:val="fr-FR"/>
        </w:rPr>
        <w:t> ;</w:t>
      </w:r>
      <w:r w:rsidRPr="007E0A76">
        <w:rPr>
          <w:lang w:val="fr-FR"/>
        </w:rPr>
        <w:t xml:space="preserve"> </w:t>
      </w:r>
      <w:proofErr w:type="spellStart"/>
      <w:r w:rsidRPr="007E0A76">
        <w:rPr>
          <w:i/>
          <w:lang w:val="fr-FR"/>
        </w:rPr>
        <w:t>Galtieri</w:t>
      </w:r>
      <w:proofErr w:type="spellEnd"/>
      <w:r w:rsidRPr="007E0A76">
        <w:rPr>
          <w:i/>
          <w:lang w:val="fr-FR"/>
        </w:rPr>
        <w:t xml:space="preserve"> c. Italie </w:t>
      </w:r>
      <w:r w:rsidRPr="007E0A76">
        <w:rPr>
          <w:lang w:val="fr-FR"/>
        </w:rPr>
        <w:t>(déc.), n</w:t>
      </w:r>
      <w:r w:rsidRPr="007E0A76">
        <w:rPr>
          <w:vertAlign w:val="superscript"/>
          <w:lang w:val="fr-FR"/>
        </w:rPr>
        <w:t>o</w:t>
      </w:r>
      <w:r w:rsidR="00EC334C">
        <w:rPr>
          <w:lang w:val="fr-FR"/>
        </w:rPr>
        <w:t xml:space="preserve"> </w:t>
      </w:r>
      <w:r w:rsidRPr="007E0A76">
        <w:rPr>
          <w:lang w:val="fr-FR"/>
        </w:rPr>
        <w:t>72864/01, 24 janvier 2006</w:t>
      </w:r>
      <w:r>
        <w:rPr>
          <w:lang w:val="fr-FR"/>
        </w:rPr>
        <w:t xml:space="preserve"> ; </w:t>
      </w:r>
      <w:r w:rsidRPr="007E0A76">
        <w:rPr>
          <w:i/>
          <w:lang w:val="fr-FR"/>
        </w:rPr>
        <w:t xml:space="preserve">Campanile et autres c. Italie </w:t>
      </w:r>
      <w:r w:rsidRPr="007E0A76">
        <w:rPr>
          <w:lang w:val="fr-FR"/>
        </w:rPr>
        <w:t>(déc.), n</w:t>
      </w:r>
      <w:r w:rsidRPr="007E0A76">
        <w:rPr>
          <w:vertAlign w:val="superscript"/>
          <w:lang w:val="fr-FR"/>
        </w:rPr>
        <w:t>o</w:t>
      </w:r>
      <w:r w:rsidR="00EC334C">
        <w:rPr>
          <w:lang w:val="fr-FR"/>
        </w:rPr>
        <w:t xml:space="preserve"> </w:t>
      </w:r>
      <w:r w:rsidRPr="007E0A76">
        <w:rPr>
          <w:lang w:val="fr-FR"/>
        </w:rPr>
        <w:t xml:space="preserve">32635/05, § 25, 15 janvier 2013 ; </w:t>
      </w:r>
      <w:proofErr w:type="spellStart"/>
      <w:r w:rsidRPr="007E0A76">
        <w:rPr>
          <w:i/>
          <w:lang w:val="fr-FR"/>
        </w:rPr>
        <w:t>Contessa</w:t>
      </w:r>
      <w:proofErr w:type="spellEnd"/>
      <w:r w:rsidRPr="007E0A76">
        <w:rPr>
          <w:i/>
          <w:lang w:val="fr-FR"/>
        </w:rPr>
        <w:t xml:space="preserve"> et autres c. Italie </w:t>
      </w:r>
      <w:r w:rsidRPr="007E0A76">
        <w:rPr>
          <w:lang w:val="fr-FR"/>
        </w:rPr>
        <w:t>(déc.), n</w:t>
      </w:r>
      <w:r w:rsidRPr="000D6569">
        <w:rPr>
          <w:vertAlign w:val="superscript"/>
          <w:lang w:val="fr-FR"/>
        </w:rPr>
        <w:t>o</w:t>
      </w:r>
      <w:r w:rsidRPr="007E0A76">
        <w:rPr>
          <w:lang w:val="fr-FR"/>
        </w:rPr>
        <w:t xml:space="preserve"> 11004/05, § 26, 17 septembre 2013 </w:t>
      </w:r>
      <w:r>
        <w:rPr>
          <w:lang w:val="fr-FR"/>
        </w:rPr>
        <w:t xml:space="preserve">; et </w:t>
      </w:r>
      <w:r w:rsidRPr="007E0A76">
        <w:rPr>
          <w:i/>
          <w:lang w:val="fr-FR"/>
        </w:rPr>
        <w:t>D</w:t>
      </w:r>
      <w:r w:rsidR="00636A28">
        <w:rPr>
          <w:i/>
          <w:lang w:val="fr-FR"/>
        </w:rPr>
        <w:t>’</w:t>
      </w:r>
      <w:r w:rsidR="006D7840">
        <w:rPr>
          <w:i/>
          <w:lang w:val="fr-FR"/>
        </w:rPr>
        <w:t>A</w:t>
      </w:r>
      <w:r w:rsidRPr="007E0A76">
        <w:rPr>
          <w:i/>
          <w:lang w:val="fr-FR"/>
        </w:rPr>
        <w:t>lba c. Italie</w:t>
      </w:r>
      <w:r w:rsidRPr="007E0A76">
        <w:rPr>
          <w:lang w:val="fr-FR"/>
        </w:rPr>
        <w:t xml:space="preserve"> (déc.), n</w:t>
      </w:r>
      <w:r w:rsidRPr="000D6569">
        <w:rPr>
          <w:vertAlign w:val="superscript"/>
          <w:lang w:val="fr-FR"/>
        </w:rPr>
        <w:t>o</w:t>
      </w:r>
      <w:r w:rsidRPr="007E0A76">
        <w:rPr>
          <w:lang w:val="fr-FR"/>
        </w:rPr>
        <w:t xml:space="preserve"> </w:t>
      </w:r>
      <w:r w:rsidRPr="007E0A76">
        <w:rPr>
          <w:szCs w:val="24"/>
          <w:lang w:val="fr-FR"/>
        </w:rPr>
        <w:t>58437/09</w:t>
      </w:r>
      <w:r w:rsidRPr="007E0A76">
        <w:rPr>
          <w:lang w:val="fr-FR"/>
        </w:rPr>
        <w:t xml:space="preserve">, </w:t>
      </w:r>
      <w:r>
        <w:rPr>
          <w:lang w:val="fr-FR"/>
        </w:rPr>
        <w:t xml:space="preserve">§ 34, </w:t>
      </w:r>
      <w:r w:rsidRPr="007E0A76">
        <w:rPr>
          <w:lang w:val="fr-FR"/>
        </w:rPr>
        <w:t>26 mai 2015)</w:t>
      </w:r>
      <w:r>
        <w:rPr>
          <w:lang w:val="fr-FR"/>
        </w:rPr>
        <w:t>.</w:t>
      </w:r>
      <w:proofErr w:type="gramEnd"/>
      <w:r>
        <w:rPr>
          <w:lang w:val="fr-FR"/>
        </w:rPr>
        <w:t xml:space="preserve"> </w:t>
      </w:r>
      <w:r w:rsidRPr="003E2A8A">
        <w:rPr>
          <w:lang w:val="fr-FR"/>
        </w:rPr>
        <w:t>Cette ingérence relève de la réglementation de l</w:t>
      </w:r>
      <w:r w:rsidR="00636A28">
        <w:rPr>
          <w:lang w:val="fr-FR"/>
        </w:rPr>
        <w:t>’</w:t>
      </w:r>
      <w:r w:rsidRPr="003E2A8A">
        <w:rPr>
          <w:lang w:val="fr-FR"/>
        </w:rPr>
        <w:t xml:space="preserve">usage des biens, au sens du deuxième </w:t>
      </w:r>
      <w:r w:rsidRPr="003E2A8A">
        <w:rPr>
          <w:lang w:val="fr-FR"/>
        </w:rPr>
        <w:lastRenderedPageBreak/>
        <w:t>paragraphe de l</w:t>
      </w:r>
      <w:r w:rsidR="00636A28">
        <w:rPr>
          <w:lang w:val="fr-FR"/>
        </w:rPr>
        <w:t>’</w:t>
      </w:r>
      <w:r w:rsidRPr="003E2A8A">
        <w:rPr>
          <w:lang w:val="fr-FR"/>
        </w:rPr>
        <w:t>article 1 du Protocole n</w:t>
      </w:r>
      <w:r w:rsidRPr="003E2A8A">
        <w:rPr>
          <w:vertAlign w:val="superscript"/>
          <w:lang w:val="fr-FR"/>
        </w:rPr>
        <w:t>o</w:t>
      </w:r>
      <w:r w:rsidRPr="003E2A8A">
        <w:rPr>
          <w:lang w:val="fr-FR"/>
        </w:rPr>
        <w:t xml:space="preserve"> 1 </w:t>
      </w:r>
      <w:r>
        <w:rPr>
          <w:lang w:val="fr-FR"/>
        </w:rPr>
        <w:t xml:space="preserve">à la Convention </w:t>
      </w:r>
      <w:r w:rsidRPr="003E2A8A">
        <w:rPr>
          <w:lang w:val="fr-FR"/>
        </w:rPr>
        <w:t>(</w:t>
      </w:r>
      <w:proofErr w:type="spellStart"/>
      <w:r w:rsidRPr="003E2A8A">
        <w:rPr>
          <w:i/>
          <w:lang w:val="fr-FR"/>
        </w:rPr>
        <w:t>Sporrong</w:t>
      </w:r>
      <w:proofErr w:type="spellEnd"/>
      <w:r w:rsidRPr="003E2A8A">
        <w:rPr>
          <w:i/>
          <w:lang w:val="fr-FR"/>
        </w:rPr>
        <w:t xml:space="preserve"> et </w:t>
      </w:r>
      <w:proofErr w:type="spellStart"/>
      <w:r w:rsidRPr="003E2A8A">
        <w:rPr>
          <w:i/>
          <w:lang w:val="fr-FR"/>
        </w:rPr>
        <w:t>Lönnroth</w:t>
      </w:r>
      <w:proofErr w:type="spellEnd"/>
      <w:r w:rsidRPr="003E2A8A">
        <w:rPr>
          <w:i/>
          <w:lang w:val="fr-FR"/>
        </w:rPr>
        <w:t xml:space="preserve"> c. Suède</w:t>
      </w:r>
      <w:r w:rsidRPr="003E2A8A">
        <w:rPr>
          <w:lang w:val="fr-FR"/>
        </w:rPr>
        <w:t xml:space="preserve">, 23 septembre 1982, </w:t>
      </w:r>
      <w:r>
        <w:rPr>
          <w:lang w:val="fr-FR"/>
        </w:rPr>
        <w:t xml:space="preserve">§ 64, </w:t>
      </w:r>
      <w:r w:rsidRPr="003E2A8A">
        <w:rPr>
          <w:lang w:val="fr-FR"/>
        </w:rPr>
        <w:t>série A n</w:t>
      </w:r>
      <w:r w:rsidRPr="003E2A8A">
        <w:rPr>
          <w:vertAlign w:val="superscript"/>
          <w:lang w:val="fr-FR"/>
        </w:rPr>
        <w:t>o</w:t>
      </w:r>
      <w:r w:rsidRPr="003E2A8A">
        <w:rPr>
          <w:lang w:val="fr-FR"/>
        </w:rPr>
        <w:t xml:space="preserve"> 52, et </w:t>
      </w:r>
      <w:proofErr w:type="spellStart"/>
      <w:r w:rsidRPr="003E2A8A">
        <w:rPr>
          <w:i/>
          <w:lang w:val="fr-FR"/>
        </w:rPr>
        <w:t>Hiltunen</w:t>
      </w:r>
      <w:proofErr w:type="spellEnd"/>
      <w:r w:rsidRPr="003E2A8A">
        <w:rPr>
          <w:i/>
          <w:lang w:val="fr-FR"/>
        </w:rPr>
        <w:t xml:space="preserve"> c. Finlande </w:t>
      </w:r>
      <w:r w:rsidRPr="003E2A8A">
        <w:rPr>
          <w:lang w:val="fr-FR"/>
        </w:rPr>
        <w:t>(</w:t>
      </w:r>
      <w:proofErr w:type="spellStart"/>
      <w:r w:rsidRPr="003E2A8A">
        <w:rPr>
          <w:lang w:val="fr-FR"/>
        </w:rPr>
        <w:t>déc</w:t>
      </w:r>
      <w:proofErr w:type="spellEnd"/>
      <w:r w:rsidRPr="003E2A8A">
        <w:rPr>
          <w:lang w:val="fr-FR"/>
        </w:rPr>
        <w:t>), n</w:t>
      </w:r>
      <w:r w:rsidRPr="003E2A8A">
        <w:rPr>
          <w:vertAlign w:val="superscript"/>
          <w:lang w:val="fr-FR"/>
        </w:rPr>
        <w:t>o</w:t>
      </w:r>
      <w:r w:rsidR="00EC334C">
        <w:rPr>
          <w:lang w:val="fr-FR"/>
        </w:rPr>
        <w:t xml:space="preserve"> </w:t>
      </w:r>
      <w:r w:rsidRPr="003E2A8A">
        <w:rPr>
          <w:lang w:val="fr-FR"/>
        </w:rPr>
        <w:t>30337/96, 28 septembre 1999).</w:t>
      </w:r>
    </w:p>
    <w:p w:rsidR="000D6569" w:rsidRDefault="000D6569" w:rsidP="000D6569">
      <w:pPr>
        <w:pStyle w:val="ECHRPara"/>
        <w:rPr>
          <w:lang w:val="fr-FR"/>
        </w:rPr>
      </w:pPr>
      <w:r>
        <w:rPr>
          <w:lang w:val="fr-FR"/>
        </w:rPr>
        <w:t>46</w:t>
      </w:r>
      <w:r w:rsidRPr="006F2934">
        <w:rPr>
          <w:lang w:val="fr-FR"/>
        </w:rPr>
        <w:t>.  Il reste à déterminer si un juste équilibre a été maintenu entre les exigences de l</w:t>
      </w:r>
      <w:r w:rsidR="00636A28">
        <w:rPr>
          <w:lang w:val="fr-FR"/>
        </w:rPr>
        <w:t>’</w:t>
      </w:r>
      <w:r w:rsidRPr="006F2934">
        <w:rPr>
          <w:lang w:val="fr-FR"/>
        </w:rPr>
        <w:t>intérêt général et la sauvegarde des droits fondamentaux de l</w:t>
      </w:r>
      <w:r w:rsidR="00636A28">
        <w:rPr>
          <w:lang w:val="fr-FR"/>
        </w:rPr>
        <w:t>’</w:t>
      </w:r>
      <w:r w:rsidRPr="006F2934">
        <w:rPr>
          <w:lang w:val="fr-FR"/>
        </w:rPr>
        <w:t>individu (</w:t>
      </w:r>
      <w:proofErr w:type="spellStart"/>
      <w:r w:rsidRPr="006F2934">
        <w:rPr>
          <w:i/>
          <w:lang w:val="fr-FR"/>
        </w:rPr>
        <w:t>Hiltunen</w:t>
      </w:r>
      <w:proofErr w:type="spellEnd"/>
      <w:r w:rsidRPr="006F2934">
        <w:rPr>
          <w:lang w:val="fr-FR"/>
        </w:rPr>
        <w:t xml:space="preserve">, décision précitée ; </w:t>
      </w:r>
      <w:proofErr w:type="spellStart"/>
      <w:r w:rsidRPr="006F2934">
        <w:rPr>
          <w:i/>
          <w:lang w:val="fr-FR"/>
        </w:rPr>
        <w:t>Cooperativa</w:t>
      </w:r>
      <w:proofErr w:type="spellEnd"/>
      <w:r w:rsidRPr="006F2934">
        <w:rPr>
          <w:i/>
          <w:lang w:val="fr-FR"/>
        </w:rPr>
        <w:t xml:space="preserve"> La </w:t>
      </w:r>
      <w:proofErr w:type="spellStart"/>
      <w:r w:rsidRPr="006F2934">
        <w:rPr>
          <w:i/>
          <w:lang w:val="fr-FR"/>
        </w:rPr>
        <w:t>Laurentina</w:t>
      </w:r>
      <w:proofErr w:type="spellEnd"/>
      <w:r w:rsidRPr="006F2934">
        <w:rPr>
          <w:i/>
          <w:lang w:val="fr-FR"/>
        </w:rPr>
        <w:t xml:space="preserve"> c.</w:t>
      </w:r>
      <w:r w:rsidR="00EC334C">
        <w:rPr>
          <w:i/>
          <w:lang w:val="fr-FR"/>
        </w:rPr>
        <w:t xml:space="preserve"> </w:t>
      </w:r>
      <w:r w:rsidRPr="006F2934">
        <w:rPr>
          <w:i/>
          <w:lang w:val="fr-FR"/>
        </w:rPr>
        <w:t>Italie</w:t>
      </w:r>
      <w:r w:rsidRPr="006F2934">
        <w:rPr>
          <w:lang w:val="fr-FR"/>
        </w:rPr>
        <w:t>, n</w:t>
      </w:r>
      <w:r w:rsidRPr="006F2934">
        <w:rPr>
          <w:vertAlign w:val="superscript"/>
          <w:lang w:val="fr-FR"/>
        </w:rPr>
        <w:t>o</w:t>
      </w:r>
      <w:r w:rsidRPr="006F2934">
        <w:rPr>
          <w:lang w:val="fr-FR"/>
        </w:rPr>
        <w:t xml:space="preserve"> 23529/94, § 95, 2 août 2001 ; </w:t>
      </w:r>
      <w:proofErr w:type="spellStart"/>
      <w:r w:rsidRPr="006F2934">
        <w:rPr>
          <w:i/>
          <w:lang w:val="fr-FR"/>
        </w:rPr>
        <w:t>Contessa</w:t>
      </w:r>
      <w:proofErr w:type="spellEnd"/>
      <w:r w:rsidRPr="006F2934">
        <w:rPr>
          <w:i/>
          <w:lang w:val="fr-FR"/>
        </w:rPr>
        <w:t xml:space="preserve"> et autres</w:t>
      </w:r>
      <w:r w:rsidRPr="006F2934">
        <w:rPr>
          <w:lang w:val="fr-FR"/>
        </w:rPr>
        <w:t xml:space="preserve">, décision précitée, § 28 ; et </w:t>
      </w:r>
      <w:r w:rsidRPr="006F2934">
        <w:rPr>
          <w:i/>
          <w:lang w:val="fr-FR"/>
        </w:rPr>
        <w:t>D</w:t>
      </w:r>
      <w:r w:rsidR="00636A28">
        <w:rPr>
          <w:i/>
          <w:lang w:val="fr-FR"/>
        </w:rPr>
        <w:t>’</w:t>
      </w:r>
      <w:r w:rsidRPr="006F2934">
        <w:rPr>
          <w:i/>
          <w:lang w:val="fr-FR"/>
        </w:rPr>
        <w:t>Alba</w:t>
      </w:r>
      <w:r w:rsidRPr="006F2934">
        <w:rPr>
          <w:lang w:val="fr-FR"/>
        </w:rPr>
        <w:t>, décision précitée, § 36).</w:t>
      </w:r>
    </w:p>
    <w:p w:rsidR="000D6569" w:rsidRDefault="000D6569" w:rsidP="000D6569">
      <w:pPr>
        <w:pStyle w:val="ECHRPara"/>
        <w:rPr>
          <w:lang w:val="fr-FR"/>
        </w:rPr>
      </w:pPr>
      <w:r>
        <w:rPr>
          <w:lang w:val="fr-FR"/>
        </w:rPr>
        <w:t>47.  </w:t>
      </w:r>
      <w:r>
        <w:rPr>
          <w:rFonts w:cstheme="minorHAnsi"/>
          <w:lang w:val="fr-FR"/>
        </w:rPr>
        <w:t>À</w:t>
      </w:r>
      <w:r>
        <w:rPr>
          <w:lang w:val="fr-FR"/>
        </w:rPr>
        <w:t xml:space="preserve"> cet égard, la Cour considère qu</w:t>
      </w:r>
      <w:r w:rsidR="00636A28">
        <w:rPr>
          <w:lang w:val="fr-FR"/>
        </w:rPr>
        <w:t>’</w:t>
      </w:r>
      <w:r>
        <w:rPr>
          <w:lang w:val="fr-FR"/>
        </w:rPr>
        <w:t>une distinction doit être faite entre le rejet des deux premières demandes de la requérante et le rejet de la troisième et quatrième demande.</w:t>
      </w:r>
    </w:p>
    <w:p w:rsidR="000D6569" w:rsidRPr="00CB7111" w:rsidRDefault="000D6569" w:rsidP="000D6569">
      <w:pPr>
        <w:pStyle w:val="ECHRPara"/>
        <w:rPr>
          <w:spacing w:val="-2"/>
          <w:lang w:val="fr-FR"/>
        </w:rPr>
      </w:pPr>
      <w:r>
        <w:rPr>
          <w:lang w:val="fr-FR"/>
        </w:rPr>
        <w:t xml:space="preserve">48.  Les deux premiers projets de développement immobilier de la requérante ont été rejetés par la </w:t>
      </w:r>
      <w:r w:rsidRPr="00BA34FF">
        <w:rPr>
          <w:spacing w:val="-2"/>
          <w:lang w:val="fr-FR"/>
        </w:rPr>
        <w:t>municipalité de Sanremo les 16 octobre 1985 et 10 septembre 1988 respectivement, au motif qu</w:t>
      </w:r>
      <w:r w:rsidR="00636A28">
        <w:rPr>
          <w:spacing w:val="-2"/>
          <w:lang w:val="fr-FR"/>
        </w:rPr>
        <w:t>’</w:t>
      </w:r>
      <w:r w:rsidRPr="00BA34FF">
        <w:rPr>
          <w:spacing w:val="-2"/>
          <w:lang w:val="fr-FR"/>
        </w:rPr>
        <w:t>ils n</w:t>
      </w:r>
      <w:r w:rsidR="00636A28">
        <w:rPr>
          <w:spacing w:val="-2"/>
          <w:lang w:val="fr-FR"/>
        </w:rPr>
        <w:t>’</w:t>
      </w:r>
      <w:r w:rsidRPr="00BA34FF">
        <w:rPr>
          <w:spacing w:val="-2"/>
          <w:lang w:val="fr-FR"/>
        </w:rPr>
        <w:t>étaient pas conformes aux règles d</w:t>
      </w:r>
      <w:r w:rsidR="00636A28">
        <w:rPr>
          <w:spacing w:val="-2"/>
          <w:lang w:val="fr-FR"/>
        </w:rPr>
        <w:t>’</w:t>
      </w:r>
      <w:r w:rsidRPr="00BA34FF">
        <w:rPr>
          <w:spacing w:val="-2"/>
          <w:lang w:val="fr-FR"/>
        </w:rPr>
        <w:t>urbanisme et qu</w:t>
      </w:r>
      <w:r w:rsidR="00636A28">
        <w:rPr>
          <w:spacing w:val="-2"/>
          <w:lang w:val="fr-FR"/>
        </w:rPr>
        <w:t>’</w:t>
      </w:r>
      <w:r w:rsidRPr="00BA34FF">
        <w:rPr>
          <w:spacing w:val="-2"/>
          <w:lang w:val="fr-FR"/>
        </w:rPr>
        <w:t>il y avait des difficultés d</w:t>
      </w:r>
      <w:r w:rsidR="00636A28">
        <w:rPr>
          <w:spacing w:val="-2"/>
          <w:lang w:val="fr-FR"/>
        </w:rPr>
        <w:t>’</w:t>
      </w:r>
      <w:r w:rsidRPr="00BA34FF">
        <w:rPr>
          <w:spacing w:val="-2"/>
          <w:lang w:val="fr-FR"/>
        </w:rPr>
        <w:t xml:space="preserve">accès au complexe immobilier envisagé </w:t>
      </w:r>
      <w:r>
        <w:rPr>
          <w:spacing w:val="-2"/>
          <w:lang w:val="fr-FR"/>
        </w:rPr>
        <w:t xml:space="preserve">(paragraphes </w:t>
      </w:r>
      <w:r>
        <w:rPr>
          <w:lang w:val="fr-FR"/>
        </w:rPr>
        <w:t>6</w:t>
      </w:r>
      <w:r>
        <w:rPr>
          <w:spacing w:val="-2"/>
          <w:lang w:val="fr-FR"/>
        </w:rPr>
        <w:t xml:space="preserve"> et </w:t>
      </w:r>
      <w:r>
        <w:rPr>
          <w:lang w:val="fr-FR"/>
        </w:rPr>
        <w:t>7</w:t>
      </w:r>
      <w:r>
        <w:rPr>
          <w:spacing w:val="-2"/>
          <w:lang w:val="fr-FR"/>
        </w:rPr>
        <w:t xml:space="preserve"> ci-dessus). </w:t>
      </w:r>
      <w:r w:rsidRPr="007A5292">
        <w:rPr>
          <w:spacing w:val="-2"/>
          <w:lang w:val="fr-FR"/>
        </w:rPr>
        <w:t>La Cour note que la requérante n</w:t>
      </w:r>
      <w:r w:rsidR="00636A28">
        <w:rPr>
          <w:spacing w:val="-2"/>
          <w:lang w:val="fr-FR"/>
        </w:rPr>
        <w:t>’</w:t>
      </w:r>
      <w:r w:rsidRPr="007A5292">
        <w:rPr>
          <w:spacing w:val="-2"/>
          <w:lang w:val="fr-FR"/>
        </w:rPr>
        <w:t>a pas attaqué ces décisions devant les juridictions administratives, et n</w:t>
      </w:r>
      <w:r w:rsidR="00636A28">
        <w:rPr>
          <w:spacing w:val="-2"/>
          <w:lang w:val="fr-FR"/>
        </w:rPr>
        <w:t>’</w:t>
      </w:r>
      <w:r w:rsidRPr="007A5292">
        <w:rPr>
          <w:spacing w:val="-2"/>
          <w:lang w:val="fr-FR"/>
        </w:rPr>
        <w:t>a donc pas soumis à l</w:t>
      </w:r>
      <w:r w:rsidR="00636A28">
        <w:rPr>
          <w:spacing w:val="-2"/>
          <w:lang w:val="fr-FR"/>
        </w:rPr>
        <w:t>’</w:t>
      </w:r>
      <w:r w:rsidRPr="007A5292">
        <w:rPr>
          <w:spacing w:val="-2"/>
          <w:lang w:val="fr-FR"/>
        </w:rPr>
        <w:t xml:space="preserve">examen des tribunaux internes la légitimité et la pertinence des raisons avancées par la municipalité. De plus, rien ne permet de penser que les </w:t>
      </w:r>
      <w:r>
        <w:rPr>
          <w:spacing w:val="-2"/>
          <w:lang w:val="fr-FR"/>
        </w:rPr>
        <w:t xml:space="preserve">décisions des 16 octobre 1985 et 10 septembre 1988 étaient manifestement </w:t>
      </w:r>
      <w:proofErr w:type="gramStart"/>
      <w:r>
        <w:rPr>
          <w:spacing w:val="-2"/>
          <w:lang w:val="fr-FR"/>
        </w:rPr>
        <w:t>erronées</w:t>
      </w:r>
      <w:proofErr w:type="gramEnd"/>
      <w:r>
        <w:rPr>
          <w:spacing w:val="-2"/>
          <w:lang w:val="fr-FR"/>
        </w:rPr>
        <w:t xml:space="preserve"> ou arbitraires. </w:t>
      </w:r>
      <w:r>
        <w:rPr>
          <w:rFonts w:cstheme="minorHAnsi"/>
          <w:spacing w:val="-2"/>
          <w:lang w:val="fr-FR"/>
        </w:rPr>
        <w:t>À</w:t>
      </w:r>
      <w:r>
        <w:rPr>
          <w:spacing w:val="-2"/>
          <w:lang w:val="fr-FR"/>
        </w:rPr>
        <w:t xml:space="preserve"> cet égard, la Cour rappelle </w:t>
      </w:r>
      <w:r w:rsidRPr="002634A2">
        <w:rPr>
          <w:szCs w:val="24"/>
          <w:lang w:val="fr-FR"/>
        </w:rPr>
        <w:t>que</w:t>
      </w:r>
      <w:r>
        <w:rPr>
          <w:szCs w:val="24"/>
          <w:lang w:val="fr-FR"/>
        </w:rPr>
        <w:t>,</w:t>
      </w:r>
      <w:r w:rsidRPr="002634A2">
        <w:rPr>
          <w:szCs w:val="24"/>
          <w:lang w:val="fr-FR"/>
        </w:rPr>
        <w:t xml:space="preserve"> dans un domaine aussi complexe et difficile que l</w:t>
      </w:r>
      <w:r w:rsidR="00636A28">
        <w:rPr>
          <w:szCs w:val="24"/>
          <w:lang w:val="fr-FR"/>
        </w:rPr>
        <w:t>’</w:t>
      </w:r>
      <w:r w:rsidRPr="002634A2">
        <w:rPr>
          <w:szCs w:val="24"/>
          <w:lang w:val="fr-FR"/>
        </w:rPr>
        <w:t>aménagement des villes, les États contractants jouissent d</w:t>
      </w:r>
      <w:r w:rsidR="00636A28">
        <w:rPr>
          <w:szCs w:val="24"/>
          <w:lang w:val="fr-FR"/>
        </w:rPr>
        <w:t>’</w:t>
      </w:r>
      <w:r w:rsidRPr="002634A2">
        <w:rPr>
          <w:szCs w:val="24"/>
          <w:lang w:val="fr-FR"/>
        </w:rPr>
        <w:t>une grande marge d</w:t>
      </w:r>
      <w:r w:rsidR="00636A28">
        <w:rPr>
          <w:szCs w:val="24"/>
          <w:lang w:val="fr-FR"/>
        </w:rPr>
        <w:t>’</w:t>
      </w:r>
      <w:r w:rsidRPr="002634A2">
        <w:rPr>
          <w:szCs w:val="24"/>
          <w:lang w:val="fr-FR"/>
        </w:rPr>
        <w:t>appréciation pour mener leur politique urbanistique (</w:t>
      </w:r>
      <w:r w:rsidRPr="002634A2">
        <w:rPr>
          <w:i/>
          <w:lang w:val="fr-FR"/>
        </w:rPr>
        <w:t xml:space="preserve">Elia </w:t>
      </w:r>
      <w:proofErr w:type="spellStart"/>
      <w:r w:rsidRPr="002634A2">
        <w:rPr>
          <w:i/>
          <w:lang w:val="fr-FR"/>
        </w:rPr>
        <w:t>S.r.l</w:t>
      </w:r>
      <w:proofErr w:type="spellEnd"/>
      <w:r w:rsidRPr="002634A2">
        <w:rPr>
          <w:i/>
          <w:lang w:val="fr-FR"/>
        </w:rPr>
        <w:t>. c. Italie</w:t>
      </w:r>
      <w:r w:rsidRPr="002634A2">
        <w:rPr>
          <w:lang w:val="fr-FR"/>
        </w:rPr>
        <w:t>, n</w:t>
      </w:r>
      <w:r w:rsidRPr="002634A2">
        <w:rPr>
          <w:vertAlign w:val="superscript"/>
          <w:lang w:val="fr-FR"/>
        </w:rPr>
        <w:t>o</w:t>
      </w:r>
      <w:r w:rsidR="00EC334C">
        <w:rPr>
          <w:lang w:val="fr-FR"/>
        </w:rPr>
        <w:t xml:space="preserve"> </w:t>
      </w:r>
      <w:r w:rsidRPr="002634A2">
        <w:rPr>
          <w:lang w:val="fr-FR"/>
        </w:rPr>
        <w:t>37710/97, § 77, CEDH 2001-IX ;</w:t>
      </w:r>
      <w:r>
        <w:rPr>
          <w:lang w:val="fr-FR"/>
        </w:rPr>
        <w:t xml:space="preserve"> </w:t>
      </w:r>
      <w:proofErr w:type="spellStart"/>
      <w:r w:rsidRPr="002634A2">
        <w:rPr>
          <w:i/>
          <w:lang w:val="fr-FR"/>
        </w:rPr>
        <w:t>Terazzi</w:t>
      </w:r>
      <w:proofErr w:type="spellEnd"/>
      <w:r w:rsidR="00EC334C">
        <w:rPr>
          <w:i/>
          <w:lang w:val="fr-FR"/>
        </w:rPr>
        <w:t xml:space="preserve"> </w:t>
      </w:r>
      <w:proofErr w:type="spellStart"/>
      <w:r w:rsidRPr="002634A2">
        <w:rPr>
          <w:i/>
          <w:lang w:val="fr-FR"/>
        </w:rPr>
        <w:t>S.r.l</w:t>
      </w:r>
      <w:proofErr w:type="spellEnd"/>
      <w:r w:rsidRPr="002634A2">
        <w:rPr>
          <w:i/>
          <w:lang w:val="fr-FR"/>
        </w:rPr>
        <w:t>. c.</w:t>
      </w:r>
      <w:r w:rsidR="00EC334C">
        <w:rPr>
          <w:i/>
          <w:lang w:val="fr-FR"/>
        </w:rPr>
        <w:t xml:space="preserve"> </w:t>
      </w:r>
      <w:r w:rsidRPr="002634A2">
        <w:rPr>
          <w:i/>
          <w:lang w:val="fr-FR"/>
        </w:rPr>
        <w:t>Italie</w:t>
      </w:r>
      <w:r w:rsidRPr="002634A2">
        <w:rPr>
          <w:lang w:val="fr-FR"/>
        </w:rPr>
        <w:t>, n</w:t>
      </w:r>
      <w:r w:rsidRPr="002634A2">
        <w:rPr>
          <w:vertAlign w:val="superscript"/>
          <w:lang w:val="fr-FR"/>
        </w:rPr>
        <w:t>o</w:t>
      </w:r>
      <w:r>
        <w:rPr>
          <w:vertAlign w:val="superscript"/>
          <w:lang w:val="fr-FR"/>
        </w:rPr>
        <w:t> </w:t>
      </w:r>
      <w:r w:rsidRPr="002634A2">
        <w:rPr>
          <w:lang w:val="fr-FR"/>
        </w:rPr>
        <w:t xml:space="preserve">27265/95, § 85, 17 octobre 2002 ; </w:t>
      </w:r>
      <w:r w:rsidRPr="002634A2">
        <w:rPr>
          <w:i/>
          <w:lang w:val="fr-FR"/>
        </w:rPr>
        <w:t>Saliba c. Malte</w:t>
      </w:r>
      <w:r w:rsidRPr="002634A2">
        <w:rPr>
          <w:lang w:val="fr-FR"/>
        </w:rPr>
        <w:t>, n</w:t>
      </w:r>
      <w:r w:rsidRPr="002634A2">
        <w:rPr>
          <w:vertAlign w:val="superscript"/>
          <w:lang w:val="fr-FR"/>
        </w:rPr>
        <w:t>o</w:t>
      </w:r>
      <w:r w:rsidR="00EC334C">
        <w:rPr>
          <w:lang w:val="fr-FR"/>
        </w:rPr>
        <w:t xml:space="preserve"> </w:t>
      </w:r>
      <w:r w:rsidRPr="002634A2">
        <w:rPr>
          <w:lang w:val="fr-FR"/>
        </w:rPr>
        <w:t>4251/02, § 45, 8 novembre 2005</w:t>
      </w:r>
      <w:r>
        <w:rPr>
          <w:lang w:val="fr-FR"/>
        </w:rPr>
        <w:t xml:space="preserve"> ; et </w:t>
      </w:r>
      <w:proofErr w:type="spellStart"/>
      <w:r w:rsidRPr="00074677">
        <w:rPr>
          <w:i/>
          <w:snapToGrid w:val="0"/>
          <w:lang w:val="fr-FR"/>
        </w:rPr>
        <w:t>Valico</w:t>
      </w:r>
      <w:proofErr w:type="spellEnd"/>
      <w:r w:rsidRPr="00074677">
        <w:rPr>
          <w:i/>
          <w:snapToGrid w:val="0"/>
          <w:lang w:val="fr-FR"/>
        </w:rPr>
        <w:t xml:space="preserve"> </w:t>
      </w:r>
      <w:proofErr w:type="spellStart"/>
      <w:r w:rsidRPr="00074677">
        <w:rPr>
          <w:i/>
          <w:snapToGrid w:val="0"/>
          <w:lang w:val="fr-FR"/>
        </w:rPr>
        <w:t>S.r.l</w:t>
      </w:r>
      <w:proofErr w:type="spellEnd"/>
      <w:r w:rsidRPr="00074677">
        <w:rPr>
          <w:i/>
          <w:snapToGrid w:val="0"/>
          <w:lang w:val="fr-FR"/>
        </w:rPr>
        <w:t xml:space="preserve">. c. Italie </w:t>
      </w:r>
      <w:r w:rsidRPr="00074677">
        <w:rPr>
          <w:snapToGrid w:val="0"/>
          <w:lang w:val="fr-FR"/>
        </w:rPr>
        <w:t>(déc.), n</w:t>
      </w:r>
      <w:r w:rsidRPr="000D6569">
        <w:rPr>
          <w:snapToGrid w:val="0"/>
          <w:vertAlign w:val="superscript"/>
          <w:lang w:val="fr-FR"/>
        </w:rPr>
        <w:t>o</w:t>
      </w:r>
      <w:r w:rsidRPr="00074677">
        <w:rPr>
          <w:snapToGrid w:val="0"/>
          <w:lang w:val="fr-FR"/>
        </w:rPr>
        <w:t xml:space="preserve"> </w:t>
      </w:r>
      <w:r w:rsidRPr="00074677">
        <w:rPr>
          <w:lang w:val="fr-FR"/>
        </w:rPr>
        <w:t>70074/01</w:t>
      </w:r>
      <w:r w:rsidR="006D7840">
        <w:rPr>
          <w:snapToGrid w:val="0"/>
          <w:lang w:val="fr-FR"/>
        </w:rPr>
        <w:t>, 21 mars </w:t>
      </w:r>
      <w:r w:rsidRPr="00074677">
        <w:rPr>
          <w:snapToGrid w:val="0"/>
          <w:lang w:val="fr-FR"/>
        </w:rPr>
        <w:t>2006</w:t>
      </w:r>
      <w:r w:rsidRPr="002634A2">
        <w:rPr>
          <w:lang w:val="fr-FR"/>
        </w:rPr>
        <w:t>)</w:t>
      </w:r>
      <w:r w:rsidRPr="002634A2">
        <w:rPr>
          <w:szCs w:val="24"/>
          <w:lang w:val="fr-FR"/>
        </w:rPr>
        <w:t>. En l</w:t>
      </w:r>
      <w:r w:rsidR="00636A28">
        <w:rPr>
          <w:szCs w:val="24"/>
          <w:lang w:val="fr-FR"/>
        </w:rPr>
        <w:t>’</w:t>
      </w:r>
      <w:r w:rsidRPr="002634A2">
        <w:rPr>
          <w:szCs w:val="24"/>
          <w:lang w:val="fr-FR"/>
        </w:rPr>
        <w:t>absence de choix manifestement arbitraire ou déraisonnable, la Cour ne saurait substituer sa propre appréciation à celle des autorités nationales quant aux moyens les plus appropriés pour achever, au niveau interne, les résultats visés par cette politique</w:t>
      </w:r>
      <w:r>
        <w:rPr>
          <w:szCs w:val="24"/>
          <w:lang w:val="fr-FR"/>
        </w:rPr>
        <w:t xml:space="preserve"> (</w:t>
      </w:r>
      <w:proofErr w:type="spellStart"/>
      <w:r>
        <w:rPr>
          <w:i/>
          <w:szCs w:val="24"/>
          <w:lang w:val="fr-FR"/>
        </w:rPr>
        <w:t>Galtieri</w:t>
      </w:r>
      <w:proofErr w:type="spellEnd"/>
      <w:r>
        <w:rPr>
          <w:szCs w:val="24"/>
          <w:lang w:val="fr-FR"/>
        </w:rPr>
        <w:t xml:space="preserve">, décision précitée ; </w:t>
      </w:r>
      <w:r>
        <w:rPr>
          <w:i/>
          <w:szCs w:val="24"/>
          <w:lang w:val="fr-FR"/>
        </w:rPr>
        <w:t>Campanile et autres</w:t>
      </w:r>
      <w:r>
        <w:rPr>
          <w:szCs w:val="24"/>
          <w:lang w:val="fr-FR"/>
        </w:rPr>
        <w:t xml:space="preserve">, décision précitée, § 31 ; </w:t>
      </w:r>
      <w:proofErr w:type="spellStart"/>
      <w:r w:rsidRPr="00E30912">
        <w:rPr>
          <w:i/>
          <w:lang w:val="fr-FR"/>
        </w:rPr>
        <w:t>Contessa</w:t>
      </w:r>
      <w:proofErr w:type="spellEnd"/>
      <w:r w:rsidRPr="00E30912">
        <w:rPr>
          <w:i/>
          <w:lang w:val="fr-FR"/>
        </w:rPr>
        <w:t xml:space="preserve"> et autres</w:t>
      </w:r>
      <w:r>
        <w:rPr>
          <w:lang w:val="fr-FR"/>
        </w:rPr>
        <w:t>, décision précitée, § 31).</w:t>
      </w:r>
    </w:p>
    <w:p w:rsidR="000D6569" w:rsidRDefault="000D6569" w:rsidP="000D6569">
      <w:pPr>
        <w:pStyle w:val="ECHRPara"/>
        <w:rPr>
          <w:spacing w:val="-2"/>
          <w:lang w:val="fr-FR"/>
        </w:rPr>
      </w:pPr>
      <w:r>
        <w:rPr>
          <w:spacing w:val="-2"/>
          <w:lang w:val="fr-FR"/>
        </w:rPr>
        <w:t>49.  Dans ces circonstances, la Cour ne saurait déceler aucune apparence de violation de l</w:t>
      </w:r>
      <w:r w:rsidR="00636A28">
        <w:rPr>
          <w:spacing w:val="-2"/>
          <w:lang w:val="fr-FR"/>
        </w:rPr>
        <w:t>’</w:t>
      </w:r>
      <w:r>
        <w:rPr>
          <w:spacing w:val="-2"/>
          <w:lang w:val="fr-FR"/>
        </w:rPr>
        <w:t>article 1 du Protocole n</w:t>
      </w:r>
      <w:r w:rsidRPr="000D6569">
        <w:rPr>
          <w:spacing w:val="-2"/>
          <w:vertAlign w:val="superscript"/>
          <w:lang w:val="fr-FR"/>
        </w:rPr>
        <w:t>o</w:t>
      </w:r>
      <w:r>
        <w:rPr>
          <w:spacing w:val="-2"/>
          <w:lang w:val="fr-FR"/>
        </w:rPr>
        <w:t xml:space="preserve"> 1 du fait du rejet de deux premières demandes de permis de construire de la requérante.</w:t>
      </w:r>
    </w:p>
    <w:p w:rsidR="000D6569" w:rsidRDefault="000D6569" w:rsidP="000D6569">
      <w:pPr>
        <w:pStyle w:val="ECHRPara"/>
        <w:rPr>
          <w:spacing w:val="-2"/>
          <w:lang w:val="fr-FR"/>
        </w:rPr>
      </w:pPr>
      <w:r>
        <w:rPr>
          <w:spacing w:val="-2"/>
          <w:lang w:val="fr-FR"/>
        </w:rPr>
        <w:t>50.  Pour ce qui est de la troisième demande, la Cour relève qu</w:t>
      </w:r>
      <w:r w:rsidR="00636A28">
        <w:rPr>
          <w:spacing w:val="-2"/>
          <w:lang w:val="fr-FR"/>
        </w:rPr>
        <w:t>’</w:t>
      </w:r>
      <w:r>
        <w:rPr>
          <w:spacing w:val="-2"/>
          <w:lang w:val="fr-FR"/>
        </w:rPr>
        <w:t xml:space="preserve">elle a été </w:t>
      </w:r>
      <w:r w:rsidRPr="00640962">
        <w:rPr>
          <w:spacing w:val="-2"/>
          <w:lang w:val="fr-FR"/>
        </w:rPr>
        <w:t xml:space="preserve">introduite à une date non précisée après septembre 1988 (paragraphe </w:t>
      </w:r>
      <w:r>
        <w:rPr>
          <w:lang w:val="fr-FR"/>
        </w:rPr>
        <w:t>8</w:t>
      </w:r>
      <w:r>
        <w:rPr>
          <w:spacing w:val="-2"/>
          <w:lang w:val="fr-FR"/>
        </w:rPr>
        <w:t xml:space="preserve"> </w:t>
      </w:r>
      <w:r w:rsidR="006D7840">
        <w:rPr>
          <w:spacing w:val="-2"/>
          <w:lang w:val="fr-FR"/>
        </w:rPr>
        <w:t>ci</w:t>
      </w:r>
      <w:r w:rsidR="006D7840">
        <w:rPr>
          <w:spacing w:val="-2"/>
          <w:lang w:val="fr-FR"/>
        </w:rPr>
        <w:noBreakHyphen/>
      </w:r>
      <w:r w:rsidRPr="00640962">
        <w:rPr>
          <w:spacing w:val="-2"/>
          <w:lang w:val="fr-FR"/>
        </w:rPr>
        <w:t>dessus), et rejetée pour « documentation incomplète » le 17 mai 1990</w:t>
      </w:r>
      <w:r>
        <w:rPr>
          <w:spacing w:val="-2"/>
          <w:lang w:val="fr-FR"/>
        </w:rPr>
        <w:t xml:space="preserve"> </w:t>
      </w:r>
      <w:r w:rsidRPr="00640962">
        <w:rPr>
          <w:spacing w:val="-2"/>
          <w:lang w:val="fr-FR"/>
        </w:rPr>
        <w:t xml:space="preserve">(paragraphe </w:t>
      </w:r>
      <w:r>
        <w:rPr>
          <w:lang w:val="fr-FR"/>
        </w:rPr>
        <w:t>9</w:t>
      </w:r>
      <w:r>
        <w:rPr>
          <w:spacing w:val="-2"/>
          <w:lang w:val="fr-FR"/>
        </w:rPr>
        <w:t xml:space="preserve"> </w:t>
      </w:r>
      <w:r w:rsidRPr="00640962">
        <w:rPr>
          <w:spacing w:val="-2"/>
          <w:lang w:val="fr-FR"/>
        </w:rPr>
        <w:t>ci-dessus). Le 25 septembre 1990, la requérante a saisi le juge administratif d</w:t>
      </w:r>
      <w:r w:rsidR="00636A28">
        <w:rPr>
          <w:spacing w:val="-2"/>
          <w:lang w:val="fr-FR"/>
        </w:rPr>
        <w:t>’</w:t>
      </w:r>
      <w:r w:rsidRPr="00640962">
        <w:rPr>
          <w:spacing w:val="-2"/>
          <w:lang w:val="fr-FR"/>
        </w:rPr>
        <w:t xml:space="preserve">un recours en annulation (paragraphe </w:t>
      </w:r>
      <w:r>
        <w:rPr>
          <w:lang w:val="fr-FR"/>
        </w:rPr>
        <w:t>10</w:t>
      </w:r>
      <w:r>
        <w:rPr>
          <w:spacing w:val="-2"/>
          <w:lang w:val="fr-FR"/>
        </w:rPr>
        <w:t xml:space="preserve"> </w:t>
      </w:r>
      <w:r w:rsidRPr="00640962">
        <w:rPr>
          <w:spacing w:val="-2"/>
          <w:lang w:val="fr-FR"/>
        </w:rPr>
        <w:t>ci-dessus), et par un jugement du 17 décembre 1992, dont le texte a été déposé au greffe le 21</w:t>
      </w:r>
      <w:r>
        <w:rPr>
          <w:spacing w:val="-2"/>
          <w:lang w:val="fr-FR"/>
        </w:rPr>
        <w:t> </w:t>
      </w:r>
      <w:r w:rsidRPr="00640962">
        <w:rPr>
          <w:spacing w:val="-2"/>
          <w:lang w:val="fr-FR"/>
        </w:rPr>
        <w:t xml:space="preserve">avril 1994, le TAR de la Ligurie a établi que la requérante avait produit les </w:t>
      </w:r>
      <w:r w:rsidRPr="00640962">
        <w:rPr>
          <w:spacing w:val="-2"/>
          <w:lang w:val="fr-FR"/>
        </w:rPr>
        <w:lastRenderedPageBreak/>
        <w:t>documents sollicités par l</w:t>
      </w:r>
      <w:r w:rsidR="00636A28">
        <w:rPr>
          <w:spacing w:val="-2"/>
          <w:lang w:val="fr-FR"/>
        </w:rPr>
        <w:t>’</w:t>
      </w:r>
      <w:r w:rsidRPr="00640962">
        <w:rPr>
          <w:spacing w:val="-2"/>
          <w:lang w:val="fr-FR"/>
        </w:rPr>
        <w:t>administration dès le 29 mars 1990 (paragraphe</w:t>
      </w:r>
      <w:r>
        <w:rPr>
          <w:spacing w:val="-2"/>
          <w:lang w:val="fr-FR"/>
        </w:rPr>
        <w:t>s </w:t>
      </w:r>
      <w:r>
        <w:rPr>
          <w:lang w:val="fr-FR"/>
        </w:rPr>
        <w:t>11</w:t>
      </w:r>
      <w:r>
        <w:rPr>
          <w:spacing w:val="-2"/>
          <w:lang w:val="fr-FR"/>
        </w:rPr>
        <w:t>-</w:t>
      </w:r>
      <w:r>
        <w:rPr>
          <w:lang w:val="fr-FR"/>
        </w:rPr>
        <w:t>12</w:t>
      </w:r>
      <w:r w:rsidRPr="00640962">
        <w:rPr>
          <w:spacing w:val="-2"/>
          <w:lang w:val="fr-FR"/>
        </w:rPr>
        <w:t xml:space="preserve"> ci-dessus).</w:t>
      </w:r>
    </w:p>
    <w:p w:rsidR="000D6569" w:rsidRDefault="000D6569" w:rsidP="000D6569">
      <w:pPr>
        <w:pStyle w:val="ECHRPara"/>
        <w:rPr>
          <w:spacing w:val="-2"/>
          <w:highlight w:val="yellow"/>
          <w:lang w:val="fr-FR"/>
        </w:rPr>
      </w:pPr>
      <w:r>
        <w:rPr>
          <w:spacing w:val="-2"/>
          <w:lang w:val="fr-FR"/>
        </w:rPr>
        <w:t>51</w:t>
      </w:r>
      <w:r w:rsidRPr="00640962">
        <w:rPr>
          <w:spacing w:val="-2"/>
          <w:lang w:val="fr-FR"/>
        </w:rPr>
        <w:t>.  La requérante soutient, pour l</w:t>
      </w:r>
      <w:r w:rsidR="00636A28">
        <w:rPr>
          <w:spacing w:val="-2"/>
          <w:lang w:val="fr-FR"/>
        </w:rPr>
        <w:t>’</w:t>
      </w:r>
      <w:r w:rsidRPr="00640962">
        <w:rPr>
          <w:spacing w:val="-2"/>
          <w:lang w:val="fr-FR"/>
        </w:rPr>
        <w:t>essentiel, que ce jugement lui conférait le droit à obtenir le permis de construire litigieux. La Cour ne saurait souscrire à cette thèse. Elle relève que le TAR s</w:t>
      </w:r>
      <w:r w:rsidR="00636A28">
        <w:rPr>
          <w:spacing w:val="-2"/>
          <w:lang w:val="fr-FR"/>
        </w:rPr>
        <w:t>’</w:t>
      </w:r>
      <w:r>
        <w:rPr>
          <w:spacing w:val="-2"/>
          <w:lang w:val="fr-FR"/>
        </w:rPr>
        <w:t>es</w:t>
      </w:r>
      <w:r w:rsidRPr="00640962">
        <w:rPr>
          <w:spacing w:val="-2"/>
          <w:lang w:val="fr-FR"/>
        </w:rPr>
        <w:t>t borné à dire que le motif invoqué par l</w:t>
      </w:r>
      <w:r w:rsidR="00636A28">
        <w:rPr>
          <w:spacing w:val="-2"/>
          <w:lang w:val="fr-FR"/>
        </w:rPr>
        <w:t>’</w:t>
      </w:r>
      <w:r w:rsidRPr="00640962">
        <w:rPr>
          <w:spacing w:val="-2"/>
          <w:lang w:val="fr-FR"/>
        </w:rPr>
        <w:t>administration, à savoir le caractère prétendument incomplet du dossier, n</w:t>
      </w:r>
      <w:r w:rsidR="00636A28">
        <w:rPr>
          <w:spacing w:val="-2"/>
          <w:lang w:val="fr-FR"/>
        </w:rPr>
        <w:t>’</w:t>
      </w:r>
      <w:r w:rsidRPr="00640962">
        <w:rPr>
          <w:spacing w:val="-2"/>
          <w:lang w:val="fr-FR"/>
        </w:rPr>
        <w:t xml:space="preserve">était </w:t>
      </w:r>
      <w:r>
        <w:rPr>
          <w:spacing w:val="-2"/>
          <w:lang w:val="fr-FR"/>
        </w:rPr>
        <w:t xml:space="preserve">pas </w:t>
      </w:r>
      <w:r w:rsidRPr="00640962">
        <w:rPr>
          <w:spacing w:val="-2"/>
          <w:lang w:val="fr-FR"/>
        </w:rPr>
        <w:t>valable. Le juge administratif ne s</w:t>
      </w:r>
      <w:r w:rsidR="00636A28">
        <w:rPr>
          <w:spacing w:val="-2"/>
          <w:lang w:val="fr-FR"/>
        </w:rPr>
        <w:t>’</w:t>
      </w:r>
      <w:r w:rsidRPr="00640962">
        <w:rPr>
          <w:spacing w:val="-2"/>
          <w:lang w:val="fr-FR"/>
        </w:rPr>
        <w:t>est aucunement prononcé sur la question de savoir si, sur le fond, la demande de permis devait être acceptée. Il s</w:t>
      </w:r>
      <w:r w:rsidR="00636A28">
        <w:rPr>
          <w:spacing w:val="-2"/>
          <w:lang w:val="fr-FR"/>
        </w:rPr>
        <w:t>’</w:t>
      </w:r>
      <w:r w:rsidRPr="00640962">
        <w:rPr>
          <w:spacing w:val="-2"/>
          <w:lang w:val="fr-FR"/>
        </w:rPr>
        <w:t>ensuit que le quatrième refus, opposé par la municipalité le 29 juillet 1994, et fondé sur l</w:t>
      </w:r>
      <w:r w:rsidR="00636A28">
        <w:rPr>
          <w:spacing w:val="-2"/>
          <w:lang w:val="fr-FR"/>
        </w:rPr>
        <w:t>’</w:t>
      </w:r>
      <w:r w:rsidRPr="00640962">
        <w:rPr>
          <w:spacing w:val="-2"/>
          <w:lang w:val="fr-FR"/>
        </w:rPr>
        <w:t>incompatibilité du projet de construction avec le PRG</w:t>
      </w:r>
      <w:r>
        <w:rPr>
          <w:spacing w:val="-2"/>
          <w:lang w:val="fr-FR"/>
        </w:rPr>
        <w:t xml:space="preserve"> (paragraphe </w:t>
      </w:r>
      <w:r>
        <w:rPr>
          <w:lang w:val="fr-FR"/>
        </w:rPr>
        <w:t>15</w:t>
      </w:r>
      <w:r>
        <w:rPr>
          <w:spacing w:val="-2"/>
          <w:lang w:val="fr-FR"/>
        </w:rPr>
        <w:t xml:space="preserve"> ci-dessus)</w:t>
      </w:r>
      <w:r w:rsidRPr="00640962">
        <w:rPr>
          <w:spacing w:val="-2"/>
          <w:lang w:val="fr-FR"/>
        </w:rPr>
        <w:t>, n</w:t>
      </w:r>
      <w:r w:rsidR="00636A28">
        <w:rPr>
          <w:spacing w:val="-2"/>
          <w:lang w:val="fr-FR"/>
        </w:rPr>
        <w:t>’</w:t>
      </w:r>
      <w:r w:rsidRPr="00640962">
        <w:rPr>
          <w:spacing w:val="-2"/>
          <w:lang w:val="fr-FR"/>
        </w:rPr>
        <w:t xml:space="preserve">était en principe pas contraire à une décision </w:t>
      </w:r>
      <w:r>
        <w:rPr>
          <w:spacing w:val="-2"/>
          <w:lang w:val="fr-FR"/>
        </w:rPr>
        <w:t>de justice définitive</w:t>
      </w:r>
      <w:r w:rsidRPr="00640962">
        <w:rPr>
          <w:spacing w:val="-2"/>
          <w:lang w:val="fr-FR"/>
        </w:rPr>
        <w:t xml:space="preserve">. Le Gouvernement le souligne à juste titre (paragraphe </w:t>
      </w:r>
      <w:r>
        <w:rPr>
          <w:lang w:val="fr-FR"/>
        </w:rPr>
        <w:t>38</w:t>
      </w:r>
      <w:r>
        <w:rPr>
          <w:spacing w:val="-2"/>
          <w:lang w:val="fr-FR"/>
        </w:rPr>
        <w:t xml:space="preserve"> </w:t>
      </w:r>
      <w:r w:rsidRPr="00640962">
        <w:rPr>
          <w:spacing w:val="-2"/>
          <w:lang w:val="fr-FR"/>
        </w:rPr>
        <w:t>ci-dessus).</w:t>
      </w:r>
      <w:r w:rsidRPr="00CA5899">
        <w:rPr>
          <w:spacing w:val="-2"/>
          <w:lang w:val="fr-FR"/>
        </w:rPr>
        <w:t xml:space="preserve"> De plus, dans les intentions de la municipalité, </w:t>
      </w:r>
      <w:r>
        <w:rPr>
          <w:spacing w:val="-2"/>
          <w:lang w:val="fr-FR"/>
        </w:rPr>
        <w:t>l</w:t>
      </w:r>
      <w:r w:rsidRPr="00CA5899">
        <w:rPr>
          <w:spacing w:val="-2"/>
          <w:lang w:val="fr-FR"/>
        </w:rPr>
        <w:t>a décision du 29 juillet 1994</w:t>
      </w:r>
      <w:r w:rsidRPr="00CA5899">
        <w:rPr>
          <w:lang w:val="fr-FR"/>
        </w:rPr>
        <w:t xml:space="preserve"> visait à garantir un aménagement rationnel et ordonné de la ville de Sanremo</w:t>
      </w:r>
      <w:r w:rsidRPr="00213DBC">
        <w:rPr>
          <w:lang w:val="fr-FR"/>
        </w:rPr>
        <w:t>,</w:t>
      </w:r>
      <w:r w:rsidRPr="00CA5899">
        <w:rPr>
          <w:lang w:val="fr-FR"/>
        </w:rPr>
        <w:t xml:space="preserve"> ce qui aux yeux de la Cour répond à un impératif des communautés locales et rentre bien dans l</w:t>
      </w:r>
      <w:r w:rsidR="00636A28">
        <w:rPr>
          <w:lang w:val="fr-FR"/>
        </w:rPr>
        <w:t>’</w:t>
      </w:r>
      <w:r w:rsidRPr="00CA5899">
        <w:rPr>
          <w:lang w:val="fr-FR"/>
        </w:rPr>
        <w:t>intérêt général au sens du paragraphe 2 de l</w:t>
      </w:r>
      <w:r w:rsidR="00636A28">
        <w:rPr>
          <w:lang w:val="fr-FR"/>
        </w:rPr>
        <w:t>’</w:t>
      </w:r>
      <w:r w:rsidRPr="00CA5899">
        <w:rPr>
          <w:lang w:val="fr-FR"/>
        </w:rPr>
        <w:t>article 1 du Protocole n</w:t>
      </w:r>
      <w:r w:rsidRPr="00CA5899">
        <w:rPr>
          <w:vertAlign w:val="superscript"/>
          <w:lang w:val="fr-FR"/>
        </w:rPr>
        <w:t>o</w:t>
      </w:r>
      <w:r w:rsidRPr="00CA5899">
        <w:rPr>
          <w:lang w:val="fr-FR"/>
        </w:rPr>
        <w:t>1.</w:t>
      </w:r>
    </w:p>
    <w:p w:rsidR="000D6569" w:rsidRDefault="000D6569" w:rsidP="000D6569">
      <w:pPr>
        <w:pStyle w:val="ECHRPara"/>
        <w:rPr>
          <w:lang w:val="fr-FR"/>
        </w:rPr>
      </w:pPr>
      <w:r>
        <w:rPr>
          <w:spacing w:val="-2"/>
          <w:lang w:val="fr-FR"/>
        </w:rPr>
        <w:t>52</w:t>
      </w:r>
      <w:r w:rsidRPr="00E53AFE">
        <w:rPr>
          <w:spacing w:val="-2"/>
          <w:lang w:val="fr-FR"/>
        </w:rPr>
        <w:t>.  </w:t>
      </w:r>
      <w:r>
        <w:rPr>
          <w:spacing w:val="-2"/>
          <w:lang w:val="fr-FR"/>
        </w:rPr>
        <w:t xml:space="preserve">La requérante a ensuite attaqué ce quatrième refus devant le TAR de la Ligurie, obtenant gain de cause. Dans son jugement du 10 décembre 1999, dont le texte a été déposé au greffe le 3 mars 2000 (paragraphes </w:t>
      </w:r>
      <w:r>
        <w:rPr>
          <w:lang w:val="fr-FR"/>
        </w:rPr>
        <w:t>17</w:t>
      </w:r>
      <w:r>
        <w:rPr>
          <w:spacing w:val="-2"/>
          <w:lang w:val="fr-FR"/>
        </w:rPr>
        <w:t>-</w:t>
      </w:r>
      <w:r>
        <w:rPr>
          <w:lang w:val="fr-FR"/>
        </w:rPr>
        <w:t>18</w:t>
      </w:r>
      <w:r w:rsidR="006D7840">
        <w:rPr>
          <w:spacing w:val="-2"/>
          <w:lang w:val="fr-FR"/>
        </w:rPr>
        <w:t xml:space="preserve"> ci</w:t>
      </w:r>
      <w:r w:rsidR="006D7840">
        <w:rPr>
          <w:spacing w:val="-2"/>
          <w:lang w:val="fr-FR"/>
        </w:rPr>
        <w:noBreakHyphen/>
      </w:r>
      <w:r>
        <w:rPr>
          <w:spacing w:val="-2"/>
          <w:lang w:val="fr-FR"/>
        </w:rPr>
        <w:t xml:space="preserve">dessus), le juge administratif a en effet estimé que le projet immobilier de la requérante ne se heurtait pas, </w:t>
      </w:r>
      <w:r w:rsidRPr="00213DBC">
        <w:rPr>
          <w:i/>
          <w:spacing w:val="-2"/>
          <w:lang w:val="fr-FR"/>
        </w:rPr>
        <w:t>per se</w:t>
      </w:r>
      <w:r>
        <w:rPr>
          <w:spacing w:val="-2"/>
          <w:lang w:val="fr-FR"/>
        </w:rPr>
        <w:t>, aux dispositions du PRG, dûment interprétées, et qu</w:t>
      </w:r>
      <w:r w:rsidR="00636A28">
        <w:rPr>
          <w:spacing w:val="-2"/>
          <w:lang w:val="fr-FR"/>
        </w:rPr>
        <w:t>’</w:t>
      </w:r>
      <w:r>
        <w:rPr>
          <w:spacing w:val="-2"/>
          <w:lang w:val="fr-FR"/>
        </w:rPr>
        <w:t>aucun plan détaillée n</w:t>
      </w:r>
      <w:r w:rsidR="00636A28">
        <w:rPr>
          <w:spacing w:val="-2"/>
          <w:lang w:val="fr-FR"/>
        </w:rPr>
        <w:t>’</w:t>
      </w:r>
      <w:r>
        <w:rPr>
          <w:spacing w:val="-2"/>
          <w:lang w:val="fr-FR"/>
        </w:rPr>
        <w:t>était nécessaire pour octroyer le permis litigieux. La municipalité s</w:t>
      </w:r>
      <w:r w:rsidR="00636A28">
        <w:rPr>
          <w:spacing w:val="-2"/>
          <w:lang w:val="fr-FR"/>
        </w:rPr>
        <w:t>’</w:t>
      </w:r>
      <w:r w:rsidRPr="00CA5899">
        <w:rPr>
          <w:spacing w:val="-2"/>
          <w:lang w:val="fr-FR"/>
        </w:rPr>
        <w:t xml:space="preserve">est ensuite (le 21 novembre 2001 – paragraphe </w:t>
      </w:r>
      <w:r>
        <w:rPr>
          <w:lang w:val="fr-FR"/>
        </w:rPr>
        <w:t>20</w:t>
      </w:r>
      <w:r w:rsidRPr="00CA5899">
        <w:rPr>
          <w:spacing w:val="-2"/>
          <w:lang w:val="fr-FR"/>
        </w:rPr>
        <w:t xml:space="preserve"> ci-dessus) </w:t>
      </w:r>
      <w:r>
        <w:rPr>
          <w:spacing w:val="-2"/>
          <w:lang w:val="fr-FR"/>
        </w:rPr>
        <w:t xml:space="preserve">déclarée prête à se </w:t>
      </w:r>
      <w:r w:rsidRPr="00CA5899">
        <w:rPr>
          <w:spacing w:val="-2"/>
          <w:lang w:val="fr-FR"/>
        </w:rPr>
        <w:t>conforme</w:t>
      </w:r>
      <w:r>
        <w:rPr>
          <w:spacing w:val="-2"/>
          <w:lang w:val="fr-FR"/>
        </w:rPr>
        <w:t>r</w:t>
      </w:r>
      <w:r w:rsidRPr="00CA5899">
        <w:rPr>
          <w:spacing w:val="-2"/>
          <w:lang w:val="fr-FR"/>
        </w:rPr>
        <w:t xml:space="preserve"> au jugement du TAR, entre-temps devenu définitif</w:t>
      </w:r>
      <w:r>
        <w:rPr>
          <w:spacing w:val="-2"/>
          <w:lang w:val="fr-FR"/>
        </w:rPr>
        <w:t>.</w:t>
      </w:r>
      <w:r w:rsidRPr="00CA5899">
        <w:rPr>
          <w:spacing w:val="-2"/>
          <w:lang w:val="fr-FR"/>
        </w:rPr>
        <w:t xml:space="preserve"> </w:t>
      </w:r>
      <w:r>
        <w:rPr>
          <w:spacing w:val="-2"/>
          <w:lang w:val="fr-FR"/>
        </w:rPr>
        <w:t>Sous réserve de remplir les formalités administratives pertinentes, l</w:t>
      </w:r>
      <w:r w:rsidRPr="00CA5899">
        <w:rPr>
          <w:spacing w:val="-2"/>
          <w:lang w:val="fr-FR"/>
        </w:rPr>
        <w:t>a requérante a</w:t>
      </w:r>
      <w:r>
        <w:rPr>
          <w:spacing w:val="-2"/>
          <w:lang w:val="fr-FR"/>
        </w:rPr>
        <w:t>urait</w:t>
      </w:r>
      <w:r w:rsidRPr="00CA5899">
        <w:rPr>
          <w:spacing w:val="-2"/>
          <w:lang w:val="fr-FR"/>
        </w:rPr>
        <w:t xml:space="preserve"> </w:t>
      </w:r>
      <w:r>
        <w:rPr>
          <w:spacing w:val="-2"/>
          <w:lang w:val="fr-FR"/>
        </w:rPr>
        <w:t xml:space="preserve">alors pu </w:t>
      </w:r>
      <w:r w:rsidRPr="00CA5899">
        <w:rPr>
          <w:spacing w:val="-2"/>
          <w:lang w:val="fr-FR"/>
        </w:rPr>
        <w:t>obten</w:t>
      </w:r>
      <w:r>
        <w:rPr>
          <w:spacing w:val="-2"/>
          <w:lang w:val="fr-FR"/>
        </w:rPr>
        <w:t>ir</w:t>
      </w:r>
      <w:r w:rsidRPr="00CA5899">
        <w:rPr>
          <w:spacing w:val="-2"/>
          <w:lang w:val="fr-FR"/>
        </w:rPr>
        <w:t xml:space="preserve"> le permis qu</w:t>
      </w:r>
      <w:r w:rsidR="00636A28">
        <w:rPr>
          <w:spacing w:val="-2"/>
          <w:lang w:val="fr-FR"/>
        </w:rPr>
        <w:t>’</w:t>
      </w:r>
      <w:r w:rsidRPr="00CA5899">
        <w:rPr>
          <w:spacing w:val="-2"/>
          <w:lang w:val="fr-FR"/>
        </w:rPr>
        <w:t>elle sollicitait.</w:t>
      </w:r>
      <w:r>
        <w:rPr>
          <w:spacing w:val="-2"/>
          <w:lang w:val="fr-FR"/>
        </w:rPr>
        <w:t xml:space="preserve"> Bien que longue et complexe, la procédure administrative a donc eu une issue favorable pour l</w:t>
      </w:r>
      <w:r w:rsidR="00636A28">
        <w:rPr>
          <w:spacing w:val="-2"/>
          <w:lang w:val="fr-FR"/>
        </w:rPr>
        <w:t>’</w:t>
      </w:r>
      <w:r>
        <w:rPr>
          <w:spacing w:val="-2"/>
          <w:lang w:val="fr-FR"/>
        </w:rPr>
        <w:t>intéressée.</w:t>
      </w:r>
    </w:p>
    <w:p w:rsidR="000D6569" w:rsidRDefault="000D6569" w:rsidP="000D6569">
      <w:pPr>
        <w:pStyle w:val="ECHRPara"/>
        <w:rPr>
          <w:lang w:val="fr-FR"/>
        </w:rPr>
      </w:pPr>
      <w:r>
        <w:rPr>
          <w:lang w:val="fr-FR"/>
        </w:rPr>
        <w:t>53.  La Cour note également qu</w:t>
      </w:r>
      <w:r w:rsidR="00636A28">
        <w:rPr>
          <w:lang w:val="fr-FR"/>
        </w:rPr>
        <w:t>’</w:t>
      </w:r>
      <w:r>
        <w:rPr>
          <w:lang w:val="fr-FR"/>
        </w:rPr>
        <w:t>a</w:t>
      </w:r>
      <w:r w:rsidRPr="00076499">
        <w:rPr>
          <w:lang w:val="fr-FR"/>
        </w:rPr>
        <w:t>u moment de l</w:t>
      </w:r>
      <w:r w:rsidR="00636A28">
        <w:rPr>
          <w:lang w:val="fr-FR"/>
        </w:rPr>
        <w:t>’</w:t>
      </w:r>
      <w:r w:rsidRPr="00076499">
        <w:rPr>
          <w:lang w:val="fr-FR"/>
        </w:rPr>
        <w:t>achat du terrain (le 24</w:t>
      </w:r>
      <w:r>
        <w:rPr>
          <w:lang w:val="fr-FR"/>
        </w:rPr>
        <w:t> </w:t>
      </w:r>
      <w:r w:rsidRPr="00076499">
        <w:rPr>
          <w:lang w:val="fr-FR"/>
        </w:rPr>
        <w:t xml:space="preserve">décembre 1982 – paragraphe </w:t>
      </w:r>
      <w:r>
        <w:rPr>
          <w:lang w:val="fr-FR"/>
        </w:rPr>
        <w:t>4</w:t>
      </w:r>
      <w:r w:rsidRPr="00076499">
        <w:rPr>
          <w:lang w:val="fr-FR"/>
        </w:rPr>
        <w:t xml:space="preserve"> ci-dessus), rien ne garantissait à l</w:t>
      </w:r>
      <w:r>
        <w:rPr>
          <w:lang w:val="fr-FR"/>
        </w:rPr>
        <w:t>a requérante</w:t>
      </w:r>
      <w:r w:rsidRPr="00076499">
        <w:rPr>
          <w:lang w:val="fr-FR"/>
        </w:rPr>
        <w:t xml:space="preserve"> de pouvoir réaliser son projet de construction</w:t>
      </w:r>
      <w:r>
        <w:rPr>
          <w:lang w:val="fr-FR"/>
        </w:rPr>
        <w:t xml:space="preserve"> d</w:t>
      </w:r>
      <w:r w:rsidR="00636A28">
        <w:rPr>
          <w:lang w:val="fr-FR"/>
        </w:rPr>
        <w:t>’</w:t>
      </w:r>
      <w:r>
        <w:rPr>
          <w:lang w:val="fr-FR"/>
        </w:rPr>
        <w:t>un centre commercial</w:t>
      </w:r>
      <w:r w:rsidRPr="00076499">
        <w:rPr>
          <w:lang w:val="fr-FR"/>
        </w:rPr>
        <w:t xml:space="preserve">. En effet, </w:t>
      </w:r>
      <w:r>
        <w:rPr>
          <w:lang w:val="fr-FR"/>
        </w:rPr>
        <w:t xml:space="preserve">même </w:t>
      </w:r>
      <w:r w:rsidRPr="00076499">
        <w:rPr>
          <w:lang w:val="fr-FR"/>
        </w:rPr>
        <w:t>s</w:t>
      </w:r>
      <w:r w:rsidR="00636A28">
        <w:rPr>
          <w:lang w:val="fr-FR"/>
        </w:rPr>
        <w:t>’</w:t>
      </w:r>
      <w:r>
        <w:rPr>
          <w:lang w:val="fr-FR"/>
        </w:rPr>
        <w:t>il</w:t>
      </w:r>
      <w:r w:rsidRPr="00076499">
        <w:rPr>
          <w:lang w:val="fr-FR"/>
        </w:rPr>
        <w:t xml:space="preserve"> </w:t>
      </w:r>
      <w:r w:rsidRPr="00076499">
        <w:rPr>
          <w:spacing w:val="-2"/>
          <w:lang w:val="fr-FR"/>
        </w:rPr>
        <w:t xml:space="preserve">doit être considéré comme une faculté inhérente au droit de propriété, le </w:t>
      </w:r>
      <w:r w:rsidRPr="00076499">
        <w:rPr>
          <w:i/>
          <w:spacing w:val="-2"/>
          <w:lang w:val="fr-FR"/>
        </w:rPr>
        <w:t>jus aedificandi</w:t>
      </w:r>
      <w:r w:rsidRPr="00076499">
        <w:rPr>
          <w:spacing w:val="-2"/>
          <w:lang w:val="fr-FR"/>
        </w:rPr>
        <w:t xml:space="preserve"> peut être limité pour des raisons d</w:t>
      </w:r>
      <w:r w:rsidR="00636A28">
        <w:rPr>
          <w:spacing w:val="-2"/>
          <w:lang w:val="fr-FR"/>
        </w:rPr>
        <w:t>’</w:t>
      </w:r>
      <w:r w:rsidRPr="00076499">
        <w:rPr>
          <w:spacing w:val="-2"/>
          <w:lang w:val="fr-FR"/>
        </w:rPr>
        <w:t>utilité publique précises et actuelles, parmi lesquelles figure le respect des règles d</w:t>
      </w:r>
      <w:r w:rsidR="00636A28">
        <w:rPr>
          <w:spacing w:val="-2"/>
          <w:lang w:val="fr-FR"/>
        </w:rPr>
        <w:t>’</w:t>
      </w:r>
      <w:r w:rsidRPr="00076499">
        <w:rPr>
          <w:spacing w:val="-2"/>
          <w:lang w:val="fr-FR"/>
        </w:rPr>
        <w:t>urbanisme</w:t>
      </w:r>
      <w:r>
        <w:rPr>
          <w:lang w:val="fr-FR"/>
        </w:rPr>
        <w:t>. Le contrat de vente l</w:t>
      </w:r>
      <w:r w:rsidR="00636A28">
        <w:rPr>
          <w:lang w:val="fr-FR"/>
        </w:rPr>
        <w:t>’</w:t>
      </w:r>
      <w:r>
        <w:rPr>
          <w:lang w:val="fr-FR"/>
        </w:rPr>
        <w:t>indiquait par ailleurs explicitement. La requérante devait donc savoir que la réalisation d</w:t>
      </w:r>
      <w:r w:rsidR="00636A28">
        <w:rPr>
          <w:lang w:val="fr-FR"/>
        </w:rPr>
        <w:t>’</w:t>
      </w:r>
      <w:r>
        <w:rPr>
          <w:lang w:val="fr-FR"/>
        </w:rPr>
        <w:t>un projet de grande envergure, tel que la construction d</w:t>
      </w:r>
      <w:r w:rsidR="00636A28">
        <w:rPr>
          <w:lang w:val="fr-FR"/>
        </w:rPr>
        <w:t>’</w:t>
      </w:r>
      <w:r>
        <w:rPr>
          <w:lang w:val="fr-FR"/>
        </w:rPr>
        <w:t>un centre commercial incluant des bureaux et des parkings en sous-sol, était soumise à l</w:t>
      </w:r>
      <w:r w:rsidR="00636A28">
        <w:rPr>
          <w:lang w:val="fr-FR"/>
        </w:rPr>
        <w:t>’</w:t>
      </w:r>
      <w:r>
        <w:rPr>
          <w:lang w:val="fr-FR"/>
        </w:rPr>
        <w:t>appréciation préalable, par la municipalité, de la conformité de celui-ci avec les dispositions du PRG, et ce dans le cadre d</w:t>
      </w:r>
      <w:r w:rsidR="00636A28">
        <w:rPr>
          <w:lang w:val="fr-FR"/>
        </w:rPr>
        <w:t>’</w:t>
      </w:r>
      <w:r>
        <w:rPr>
          <w:lang w:val="fr-FR"/>
        </w:rPr>
        <w:t xml:space="preserve">une procédure administrative complexe, susceptible de conduire à la saisine des juridictions administratives (voir, </w:t>
      </w:r>
      <w:r>
        <w:rPr>
          <w:i/>
          <w:lang w:val="fr-FR"/>
        </w:rPr>
        <w:t>mutatis mutandis</w:t>
      </w:r>
      <w:r>
        <w:rPr>
          <w:lang w:val="fr-FR"/>
        </w:rPr>
        <w:t xml:space="preserve">, </w:t>
      </w:r>
      <w:proofErr w:type="spellStart"/>
      <w:r>
        <w:rPr>
          <w:i/>
          <w:lang w:val="fr-FR"/>
        </w:rPr>
        <w:t>Contessa</w:t>
      </w:r>
      <w:proofErr w:type="spellEnd"/>
      <w:r>
        <w:rPr>
          <w:i/>
          <w:lang w:val="fr-FR"/>
        </w:rPr>
        <w:t xml:space="preserve"> et autres</w:t>
      </w:r>
      <w:r>
        <w:rPr>
          <w:lang w:val="fr-FR"/>
        </w:rPr>
        <w:t>, décision précitée, § 30).</w:t>
      </w:r>
    </w:p>
    <w:p w:rsidR="000D6569" w:rsidRPr="003F3DDE" w:rsidRDefault="000D6569" w:rsidP="000D6569">
      <w:pPr>
        <w:pStyle w:val="ECHRPara"/>
        <w:rPr>
          <w:lang w:val="fr-FR"/>
        </w:rPr>
      </w:pPr>
      <w:r>
        <w:rPr>
          <w:lang w:val="fr-FR"/>
        </w:rPr>
        <w:lastRenderedPageBreak/>
        <w:t>54.  La Cour observe que les décisions de rejet de la demande de permis de construire n</w:t>
      </w:r>
      <w:r w:rsidR="00636A28">
        <w:rPr>
          <w:lang w:val="fr-FR"/>
        </w:rPr>
        <w:t>’</w:t>
      </w:r>
      <w:r>
        <w:rPr>
          <w:lang w:val="fr-FR"/>
        </w:rPr>
        <w:t>ont pas entraîné de droit à compensation pour la requérante. En effet, le recours en dédommagement de l</w:t>
      </w:r>
      <w:r w:rsidR="00636A28">
        <w:rPr>
          <w:lang w:val="fr-FR"/>
        </w:rPr>
        <w:t>’</w:t>
      </w:r>
      <w:r>
        <w:rPr>
          <w:lang w:val="fr-FR"/>
        </w:rPr>
        <w:t>intéressée a été rejeté par le Conseil d</w:t>
      </w:r>
      <w:r w:rsidR="00636A28">
        <w:rPr>
          <w:lang w:val="fr-FR"/>
        </w:rPr>
        <w:t>’</w:t>
      </w:r>
      <w:r>
        <w:rPr>
          <w:lang w:val="fr-FR"/>
        </w:rPr>
        <w:t>État, la Haute juridiction italienne ayant estimé, pour l</w:t>
      </w:r>
      <w:r w:rsidR="00636A28">
        <w:rPr>
          <w:lang w:val="fr-FR"/>
        </w:rPr>
        <w:t>’</w:t>
      </w:r>
      <w:r>
        <w:rPr>
          <w:lang w:val="fr-FR"/>
        </w:rPr>
        <w:t>essentiel, qu</w:t>
      </w:r>
      <w:r w:rsidR="00636A28">
        <w:rPr>
          <w:lang w:val="fr-FR"/>
        </w:rPr>
        <w:t>’</w:t>
      </w:r>
      <w:r>
        <w:rPr>
          <w:lang w:val="fr-FR"/>
        </w:rPr>
        <w:t>aucune faute ne pouvait être imputée à l</w:t>
      </w:r>
      <w:r w:rsidR="00636A28">
        <w:rPr>
          <w:lang w:val="fr-FR"/>
        </w:rPr>
        <w:t>’</w:t>
      </w:r>
      <w:r>
        <w:rPr>
          <w:lang w:val="fr-FR"/>
        </w:rPr>
        <w:t xml:space="preserve">administration, compte tenu, notamment, de la complexité des dispositions du PRG, qui se prêtaient à des interprétations différentes (paragraphes 25-30 ci-dessus). </w:t>
      </w:r>
      <w:proofErr w:type="gramStart"/>
      <w:r w:rsidRPr="00501C7B">
        <w:rPr>
          <w:lang w:val="fr-FR"/>
        </w:rPr>
        <w:t>Lorsqu</w:t>
      </w:r>
      <w:r w:rsidR="00636A28">
        <w:rPr>
          <w:lang w:val="fr-FR"/>
        </w:rPr>
        <w:t>’</w:t>
      </w:r>
      <w:r w:rsidRPr="00501C7B">
        <w:rPr>
          <w:lang w:val="fr-FR"/>
        </w:rPr>
        <w:t>une mesure réglementant l</w:t>
      </w:r>
      <w:r w:rsidR="00636A28">
        <w:rPr>
          <w:lang w:val="fr-FR"/>
        </w:rPr>
        <w:t>’</w:t>
      </w:r>
      <w:r w:rsidRPr="00501C7B">
        <w:rPr>
          <w:lang w:val="fr-FR"/>
        </w:rPr>
        <w:t>usage des biens est en cause, l</w:t>
      </w:r>
      <w:r w:rsidR="00636A28">
        <w:rPr>
          <w:lang w:val="fr-FR"/>
        </w:rPr>
        <w:t>’</w:t>
      </w:r>
      <w:r w:rsidRPr="00501C7B">
        <w:rPr>
          <w:lang w:val="fr-FR"/>
        </w:rPr>
        <w:t>absence d</w:t>
      </w:r>
      <w:r w:rsidR="00636A28">
        <w:rPr>
          <w:lang w:val="fr-FR"/>
        </w:rPr>
        <w:t>’</w:t>
      </w:r>
      <w:r w:rsidRPr="00501C7B">
        <w:rPr>
          <w:lang w:val="fr-FR"/>
        </w:rPr>
        <w:t>indemnisation est l</w:t>
      </w:r>
      <w:r w:rsidR="00636A28">
        <w:rPr>
          <w:lang w:val="fr-FR"/>
        </w:rPr>
        <w:t>’</w:t>
      </w:r>
      <w:r w:rsidRPr="00501C7B">
        <w:rPr>
          <w:lang w:val="fr-FR"/>
        </w:rPr>
        <w:t>un des éléments à prendre en compte pour établir si un juste équilibre a été respecté, mais que cette absence ne saurait, à elle seule, être constitutive d</w:t>
      </w:r>
      <w:r w:rsidR="00636A28">
        <w:rPr>
          <w:lang w:val="fr-FR"/>
        </w:rPr>
        <w:t>’</w:t>
      </w:r>
      <w:r w:rsidRPr="00501C7B">
        <w:rPr>
          <w:lang w:val="fr-FR"/>
        </w:rPr>
        <w:t>une violation de l</w:t>
      </w:r>
      <w:r w:rsidR="00636A28">
        <w:rPr>
          <w:lang w:val="fr-FR"/>
        </w:rPr>
        <w:t>’</w:t>
      </w:r>
      <w:r w:rsidRPr="00501C7B">
        <w:rPr>
          <w:lang w:val="fr-FR"/>
        </w:rPr>
        <w:t>article 1 du Protocole n</w:t>
      </w:r>
      <w:r w:rsidRPr="00501C7B">
        <w:rPr>
          <w:vertAlign w:val="superscript"/>
          <w:lang w:val="fr-FR"/>
        </w:rPr>
        <w:t>o</w:t>
      </w:r>
      <w:r w:rsidRPr="00501C7B">
        <w:rPr>
          <w:lang w:val="fr-FR"/>
        </w:rPr>
        <w:t xml:space="preserve"> 1 à la Convention (voir les décisions précitées</w:t>
      </w:r>
      <w:r>
        <w:rPr>
          <w:lang w:val="fr-FR"/>
        </w:rPr>
        <w:t xml:space="preserve"> suivantes :</w:t>
      </w:r>
      <w:r w:rsidRPr="00501C7B">
        <w:rPr>
          <w:lang w:val="fr-FR"/>
        </w:rPr>
        <w:t xml:space="preserve"> </w:t>
      </w:r>
      <w:proofErr w:type="spellStart"/>
      <w:r w:rsidRPr="00501C7B">
        <w:rPr>
          <w:i/>
          <w:lang w:val="fr-FR"/>
        </w:rPr>
        <w:t>Galtieri</w:t>
      </w:r>
      <w:proofErr w:type="spellEnd"/>
      <w:r w:rsidRPr="00501C7B">
        <w:rPr>
          <w:i/>
          <w:lang w:val="fr-FR"/>
        </w:rPr>
        <w:t> </w:t>
      </w:r>
      <w:r w:rsidRPr="00501C7B">
        <w:rPr>
          <w:lang w:val="fr-FR"/>
        </w:rPr>
        <w:t xml:space="preserve">; </w:t>
      </w:r>
      <w:r w:rsidRPr="00501C7B">
        <w:rPr>
          <w:i/>
          <w:lang w:val="fr-FR"/>
        </w:rPr>
        <w:t>Campanile et autres</w:t>
      </w:r>
      <w:r w:rsidRPr="00501C7B">
        <w:rPr>
          <w:lang w:val="fr-FR"/>
        </w:rPr>
        <w:t xml:space="preserve">, § 32 ; </w:t>
      </w:r>
      <w:proofErr w:type="spellStart"/>
      <w:r w:rsidRPr="00501C7B">
        <w:rPr>
          <w:i/>
          <w:lang w:val="fr-FR"/>
        </w:rPr>
        <w:t>Contessa</w:t>
      </w:r>
      <w:proofErr w:type="spellEnd"/>
      <w:r w:rsidRPr="00501C7B">
        <w:rPr>
          <w:i/>
          <w:lang w:val="fr-FR"/>
        </w:rPr>
        <w:t xml:space="preserve"> et autres</w:t>
      </w:r>
      <w:r w:rsidRPr="00501C7B">
        <w:rPr>
          <w:lang w:val="fr-FR"/>
        </w:rPr>
        <w:t xml:space="preserve">, § 32 ; et </w:t>
      </w:r>
      <w:r w:rsidRPr="00501C7B">
        <w:rPr>
          <w:i/>
          <w:lang w:val="fr-FR"/>
        </w:rPr>
        <w:t>D</w:t>
      </w:r>
      <w:r w:rsidR="00636A28">
        <w:rPr>
          <w:i/>
          <w:lang w:val="fr-FR"/>
        </w:rPr>
        <w:t>’</w:t>
      </w:r>
      <w:r w:rsidRPr="00501C7B">
        <w:rPr>
          <w:i/>
          <w:lang w:val="fr-FR"/>
        </w:rPr>
        <w:t>Alba</w:t>
      </w:r>
      <w:r w:rsidRPr="00501C7B">
        <w:rPr>
          <w:lang w:val="fr-FR"/>
        </w:rPr>
        <w:t>, §</w:t>
      </w:r>
      <w:r w:rsidR="00EC334C">
        <w:rPr>
          <w:lang w:val="fr-FR"/>
        </w:rPr>
        <w:t xml:space="preserve"> </w:t>
      </w:r>
      <w:r w:rsidRPr="00501C7B">
        <w:rPr>
          <w:lang w:val="fr-FR"/>
        </w:rPr>
        <w:t>38 ; voir également</w:t>
      </w:r>
      <w:r>
        <w:rPr>
          <w:lang w:val="fr-FR"/>
        </w:rPr>
        <w:t xml:space="preserve">, </w:t>
      </w:r>
      <w:r>
        <w:rPr>
          <w:i/>
          <w:lang w:val="fr-FR"/>
        </w:rPr>
        <w:t>mutatis mutandis</w:t>
      </w:r>
      <w:r>
        <w:rPr>
          <w:lang w:val="fr-FR"/>
        </w:rPr>
        <w:t>,</w:t>
      </w:r>
      <w:r w:rsidRPr="00501C7B">
        <w:rPr>
          <w:lang w:val="fr-FR"/>
        </w:rPr>
        <w:t xml:space="preserve"> </w:t>
      </w:r>
      <w:proofErr w:type="spellStart"/>
      <w:r w:rsidRPr="00501C7B">
        <w:rPr>
          <w:i/>
          <w:lang w:val="fr-FR"/>
        </w:rPr>
        <w:t>Katte</w:t>
      </w:r>
      <w:proofErr w:type="spellEnd"/>
      <w:r w:rsidRPr="00501C7B">
        <w:rPr>
          <w:i/>
          <w:lang w:val="fr-FR"/>
        </w:rPr>
        <w:t xml:space="preserve"> </w:t>
      </w:r>
      <w:proofErr w:type="spellStart"/>
      <w:r w:rsidRPr="00501C7B">
        <w:rPr>
          <w:i/>
          <w:lang w:val="fr-FR"/>
        </w:rPr>
        <w:t>Klitsche</w:t>
      </w:r>
      <w:proofErr w:type="spellEnd"/>
      <w:r w:rsidRPr="00501C7B">
        <w:rPr>
          <w:i/>
          <w:lang w:val="fr-FR"/>
        </w:rPr>
        <w:t xml:space="preserve"> de la Grange c.</w:t>
      </w:r>
      <w:r>
        <w:rPr>
          <w:i/>
          <w:lang w:val="fr-FR"/>
        </w:rPr>
        <w:t> </w:t>
      </w:r>
      <w:r w:rsidRPr="00501C7B">
        <w:rPr>
          <w:i/>
          <w:lang w:val="fr-FR"/>
        </w:rPr>
        <w:t>Italie</w:t>
      </w:r>
      <w:r w:rsidRPr="00501C7B">
        <w:rPr>
          <w:lang w:val="fr-FR"/>
        </w:rPr>
        <w:t>, 27 octobre 1994, §§</w:t>
      </w:r>
      <w:r>
        <w:rPr>
          <w:lang w:val="fr-FR"/>
        </w:rPr>
        <w:t> </w:t>
      </w:r>
      <w:r w:rsidRPr="00501C7B">
        <w:rPr>
          <w:lang w:val="fr-FR"/>
        </w:rPr>
        <w:t>47-48, série A n</w:t>
      </w:r>
      <w:r w:rsidRPr="000D6569">
        <w:rPr>
          <w:vertAlign w:val="superscript"/>
          <w:lang w:val="fr-FR"/>
        </w:rPr>
        <w:t>o</w:t>
      </w:r>
      <w:r w:rsidR="00EC334C">
        <w:rPr>
          <w:lang w:val="fr-FR"/>
        </w:rPr>
        <w:t xml:space="preserve"> </w:t>
      </w:r>
      <w:r w:rsidRPr="00501C7B">
        <w:rPr>
          <w:lang w:val="fr-FR"/>
        </w:rPr>
        <w:t xml:space="preserve">293-B ; </w:t>
      </w:r>
      <w:proofErr w:type="spellStart"/>
      <w:r w:rsidRPr="00501C7B">
        <w:rPr>
          <w:i/>
          <w:lang w:val="fr-FR"/>
        </w:rPr>
        <w:t>Predil</w:t>
      </w:r>
      <w:proofErr w:type="spellEnd"/>
      <w:r w:rsidRPr="00501C7B">
        <w:rPr>
          <w:i/>
          <w:lang w:val="fr-FR"/>
        </w:rPr>
        <w:t xml:space="preserve"> </w:t>
      </w:r>
      <w:proofErr w:type="spellStart"/>
      <w:r w:rsidRPr="00501C7B">
        <w:rPr>
          <w:i/>
          <w:lang w:val="fr-FR"/>
        </w:rPr>
        <w:t>Anstalt</w:t>
      </w:r>
      <w:proofErr w:type="spellEnd"/>
      <w:r w:rsidRPr="00501C7B">
        <w:rPr>
          <w:i/>
          <w:lang w:val="fr-FR"/>
        </w:rPr>
        <w:t xml:space="preserve"> c.</w:t>
      </w:r>
      <w:r w:rsidR="00EC334C">
        <w:rPr>
          <w:i/>
          <w:lang w:val="fr-FR"/>
        </w:rPr>
        <w:t xml:space="preserve"> </w:t>
      </w:r>
      <w:r w:rsidRPr="00501C7B">
        <w:rPr>
          <w:i/>
          <w:lang w:val="fr-FR"/>
        </w:rPr>
        <w:t xml:space="preserve">Italie </w:t>
      </w:r>
      <w:r w:rsidRPr="00501C7B">
        <w:rPr>
          <w:lang w:val="fr-FR"/>
        </w:rPr>
        <w:t>(déc.), n</w:t>
      </w:r>
      <w:r w:rsidRPr="00501C7B">
        <w:rPr>
          <w:vertAlign w:val="superscript"/>
          <w:lang w:val="fr-FR"/>
        </w:rPr>
        <w:t>o</w:t>
      </w:r>
      <w:r w:rsidR="00EC334C">
        <w:rPr>
          <w:lang w:val="fr-FR"/>
        </w:rPr>
        <w:t xml:space="preserve"> </w:t>
      </w:r>
      <w:r w:rsidRPr="00501C7B">
        <w:rPr>
          <w:color w:val="000000"/>
          <w:lang w:val="fr-FR"/>
        </w:rPr>
        <w:t>31993/96</w:t>
      </w:r>
      <w:r w:rsidRPr="00501C7B">
        <w:rPr>
          <w:lang w:val="fr-FR"/>
        </w:rPr>
        <w:t>, 14</w:t>
      </w:r>
      <w:r>
        <w:rPr>
          <w:lang w:val="fr-FR"/>
        </w:rPr>
        <w:t> </w:t>
      </w:r>
      <w:r w:rsidRPr="00501C7B">
        <w:rPr>
          <w:lang w:val="fr-FR"/>
        </w:rPr>
        <w:t xml:space="preserve">mars 2002 ; et </w:t>
      </w:r>
      <w:proofErr w:type="spellStart"/>
      <w:r w:rsidRPr="00501C7B">
        <w:rPr>
          <w:i/>
          <w:lang w:val="fr-FR"/>
        </w:rPr>
        <w:t>Tiralongo</w:t>
      </w:r>
      <w:proofErr w:type="spellEnd"/>
      <w:r w:rsidRPr="00501C7B">
        <w:rPr>
          <w:i/>
          <w:lang w:val="fr-FR"/>
        </w:rPr>
        <w:t xml:space="preserve"> et </w:t>
      </w:r>
      <w:proofErr w:type="spellStart"/>
      <w:r w:rsidRPr="00501C7B">
        <w:rPr>
          <w:i/>
          <w:lang w:val="fr-FR"/>
        </w:rPr>
        <w:t>Carbe</w:t>
      </w:r>
      <w:proofErr w:type="spellEnd"/>
      <w:r w:rsidRPr="00501C7B">
        <w:rPr>
          <w:i/>
          <w:lang w:val="fr-FR"/>
        </w:rPr>
        <w:t xml:space="preserve"> c. Italie </w:t>
      </w:r>
      <w:r w:rsidRPr="00501C7B">
        <w:rPr>
          <w:lang w:val="fr-FR"/>
        </w:rPr>
        <w:t>(déc.), n</w:t>
      </w:r>
      <w:r w:rsidRPr="000D6569">
        <w:rPr>
          <w:vertAlign w:val="superscript"/>
          <w:lang w:val="fr-FR"/>
        </w:rPr>
        <w:t>o</w:t>
      </w:r>
      <w:r w:rsidR="00EC334C">
        <w:rPr>
          <w:lang w:val="fr-FR"/>
        </w:rPr>
        <w:t xml:space="preserve"> </w:t>
      </w:r>
      <w:r w:rsidRPr="00501C7B">
        <w:rPr>
          <w:lang w:val="fr-FR"/>
        </w:rPr>
        <w:t>4686/06, § 45, 27</w:t>
      </w:r>
      <w:r>
        <w:rPr>
          <w:lang w:val="fr-FR"/>
        </w:rPr>
        <w:t> </w:t>
      </w:r>
      <w:r w:rsidRPr="00501C7B">
        <w:rPr>
          <w:lang w:val="fr-FR"/>
        </w:rPr>
        <w:t>novembre 2012, où la Cour a affirmé que l</w:t>
      </w:r>
      <w:r w:rsidR="00636A28">
        <w:rPr>
          <w:lang w:val="fr-FR"/>
        </w:rPr>
        <w:t>’</w:t>
      </w:r>
      <w:r w:rsidRPr="00501C7B">
        <w:rPr>
          <w:lang w:val="fr-FR"/>
        </w:rPr>
        <w:t>absence d</w:t>
      </w:r>
      <w:r w:rsidR="00636A28">
        <w:rPr>
          <w:lang w:val="fr-FR"/>
        </w:rPr>
        <w:t>’</w:t>
      </w:r>
      <w:r w:rsidRPr="00501C7B">
        <w:rPr>
          <w:lang w:val="fr-FR"/>
        </w:rPr>
        <w:t>indemnisation pour des interdictions de construire ayant duré cinq ans n</w:t>
      </w:r>
      <w:r w:rsidR="00636A28">
        <w:rPr>
          <w:lang w:val="fr-FR"/>
        </w:rPr>
        <w:t>’</w:t>
      </w:r>
      <w:r w:rsidRPr="00501C7B">
        <w:rPr>
          <w:lang w:val="fr-FR"/>
        </w:rPr>
        <w:t>était pas de nature à rompre l</w:t>
      </w:r>
      <w:r w:rsidR="00636A28">
        <w:rPr>
          <w:lang w:val="fr-FR"/>
        </w:rPr>
        <w:t>’</w:t>
      </w:r>
      <w:r w:rsidRPr="00501C7B">
        <w:rPr>
          <w:lang w:val="fr-FR"/>
        </w:rPr>
        <w:t>équilibre entre les intérêts de la collectivité et ceux du propriétaire).</w:t>
      </w:r>
      <w:proofErr w:type="gramEnd"/>
      <w:r>
        <w:rPr>
          <w:lang w:val="fr-FR"/>
        </w:rPr>
        <w:t xml:space="preserve"> Il faut également tenir compte du fait que l</w:t>
      </w:r>
      <w:r w:rsidRPr="001C4D48">
        <w:rPr>
          <w:lang w:val="fr-FR"/>
        </w:rPr>
        <w:t>a fonction de décision confiée aux juridictions sert précisément à dissiper les doutes qui pourraient subsister quant à l</w:t>
      </w:r>
      <w:r w:rsidR="00636A28">
        <w:rPr>
          <w:lang w:val="fr-FR"/>
        </w:rPr>
        <w:t>’</w:t>
      </w:r>
      <w:r w:rsidRPr="001C4D48">
        <w:rPr>
          <w:lang w:val="fr-FR"/>
        </w:rPr>
        <w:t>interprétation des normes (</w:t>
      </w:r>
      <w:r>
        <w:rPr>
          <w:lang w:val="fr-FR"/>
        </w:rPr>
        <w:t xml:space="preserve">voir, </w:t>
      </w:r>
      <w:r>
        <w:rPr>
          <w:i/>
          <w:lang w:val="fr-FR"/>
        </w:rPr>
        <w:t>mutatis mutandis</w:t>
      </w:r>
      <w:r>
        <w:rPr>
          <w:lang w:val="fr-FR"/>
        </w:rPr>
        <w:t>,</w:t>
      </w:r>
      <w:r>
        <w:rPr>
          <w:i/>
          <w:lang w:val="fr-FR"/>
        </w:rPr>
        <w:t xml:space="preserve"> </w:t>
      </w:r>
      <w:proofErr w:type="spellStart"/>
      <w:r w:rsidRPr="001C4D48">
        <w:rPr>
          <w:bCs/>
          <w:i/>
          <w:color w:val="000000"/>
          <w:lang w:val="fr-FR"/>
        </w:rPr>
        <w:t>Kafkaris</w:t>
      </w:r>
      <w:proofErr w:type="spellEnd"/>
      <w:r w:rsidRPr="001C4D48">
        <w:rPr>
          <w:bCs/>
          <w:color w:val="000000"/>
          <w:lang w:val="fr-FR"/>
        </w:rPr>
        <w:t xml:space="preserve"> </w:t>
      </w:r>
      <w:r w:rsidRPr="001C4D48">
        <w:rPr>
          <w:bCs/>
          <w:i/>
          <w:color w:val="000000"/>
          <w:lang w:val="fr-FR"/>
        </w:rPr>
        <w:t xml:space="preserve">c. Chypre </w:t>
      </w:r>
      <w:r w:rsidRPr="001C4D48">
        <w:rPr>
          <w:bCs/>
          <w:color w:val="000000"/>
          <w:lang w:val="fr-FR"/>
        </w:rPr>
        <w:t>[GC], n</w:t>
      </w:r>
      <w:r w:rsidRPr="001C4D48">
        <w:rPr>
          <w:bCs/>
          <w:color w:val="000000"/>
          <w:vertAlign w:val="superscript"/>
          <w:lang w:val="fr-FR"/>
        </w:rPr>
        <w:t>o</w:t>
      </w:r>
      <w:r w:rsidR="00EC334C">
        <w:rPr>
          <w:bCs/>
          <w:color w:val="000000"/>
          <w:lang w:val="fr-FR"/>
        </w:rPr>
        <w:t xml:space="preserve"> </w:t>
      </w:r>
      <w:r w:rsidRPr="001C4D48">
        <w:rPr>
          <w:color w:val="000000"/>
          <w:szCs w:val="24"/>
          <w:lang w:val="fr-FR"/>
        </w:rPr>
        <w:t>21906/04</w:t>
      </w:r>
      <w:r w:rsidRPr="001C4D48">
        <w:rPr>
          <w:bCs/>
          <w:color w:val="000000"/>
          <w:lang w:val="fr-FR"/>
        </w:rPr>
        <w:t>, §</w:t>
      </w:r>
      <w:r w:rsidR="00EC334C">
        <w:rPr>
          <w:bCs/>
          <w:color w:val="000000"/>
          <w:lang w:val="fr-FR"/>
        </w:rPr>
        <w:t xml:space="preserve"> </w:t>
      </w:r>
      <w:r w:rsidRPr="001C4D48">
        <w:rPr>
          <w:bCs/>
          <w:color w:val="000000"/>
          <w:lang w:val="fr-FR"/>
        </w:rPr>
        <w:t>1</w:t>
      </w:r>
      <w:r>
        <w:rPr>
          <w:bCs/>
          <w:color w:val="000000"/>
          <w:lang w:val="fr-FR"/>
        </w:rPr>
        <w:t>41</w:t>
      </w:r>
      <w:r w:rsidRPr="001C4D48">
        <w:rPr>
          <w:bCs/>
          <w:color w:val="000000"/>
          <w:lang w:val="fr-FR"/>
        </w:rPr>
        <w:t xml:space="preserve">, </w:t>
      </w:r>
      <w:r>
        <w:rPr>
          <w:bCs/>
          <w:color w:val="000000"/>
          <w:lang w:val="fr-FR"/>
        </w:rPr>
        <w:t>CEDH</w:t>
      </w:r>
      <w:r w:rsidRPr="001C4D48">
        <w:rPr>
          <w:bCs/>
          <w:color w:val="000000"/>
          <w:lang w:val="fr-FR"/>
        </w:rPr>
        <w:t xml:space="preserve"> 2008</w:t>
      </w:r>
      <w:r>
        <w:rPr>
          <w:bCs/>
          <w:color w:val="000000"/>
          <w:lang w:val="fr-FR"/>
        </w:rPr>
        <w:t xml:space="preserve">, et </w:t>
      </w:r>
      <w:proofErr w:type="spellStart"/>
      <w:r>
        <w:rPr>
          <w:bCs/>
          <w:i/>
          <w:color w:val="000000"/>
          <w:lang w:val="fr-FR"/>
        </w:rPr>
        <w:t>Previti</w:t>
      </w:r>
      <w:proofErr w:type="spellEnd"/>
      <w:r>
        <w:rPr>
          <w:bCs/>
          <w:i/>
          <w:color w:val="000000"/>
          <w:lang w:val="fr-FR"/>
        </w:rPr>
        <w:t xml:space="preserve"> c. Italie </w:t>
      </w:r>
      <w:r>
        <w:rPr>
          <w:bCs/>
          <w:color w:val="000000"/>
          <w:lang w:val="fr-FR"/>
        </w:rPr>
        <w:t>(</w:t>
      </w:r>
      <w:proofErr w:type="spellStart"/>
      <w:r>
        <w:rPr>
          <w:bCs/>
          <w:color w:val="000000"/>
          <w:lang w:val="fr-FR"/>
        </w:rPr>
        <w:t>déc</w:t>
      </w:r>
      <w:proofErr w:type="spellEnd"/>
      <w:r>
        <w:rPr>
          <w:bCs/>
          <w:color w:val="000000"/>
          <w:lang w:val="fr-FR"/>
        </w:rPr>
        <w:t>), n</w:t>
      </w:r>
      <w:r w:rsidRPr="000D6569">
        <w:rPr>
          <w:bCs/>
          <w:color w:val="000000"/>
          <w:vertAlign w:val="superscript"/>
          <w:lang w:val="fr-FR"/>
        </w:rPr>
        <w:t>o</w:t>
      </w:r>
      <w:r w:rsidR="00EC334C">
        <w:rPr>
          <w:bCs/>
          <w:color w:val="000000"/>
          <w:lang w:val="fr-FR"/>
        </w:rPr>
        <w:t xml:space="preserve"> </w:t>
      </w:r>
      <w:r w:rsidRPr="001C4D48">
        <w:rPr>
          <w:lang w:val="fr-FR"/>
        </w:rPr>
        <w:t>45291/06</w:t>
      </w:r>
      <w:r>
        <w:rPr>
          <w:bCs/>
          <w:color w:val="000000"/>
          <w:lang w:val="fr-FR"/>
        </w:rPr>
        <w:t>, § 280, 8</w:t>
      </w:r>
      <w:r w:rsidR="00EC334C">
        <w:rPr>
          <w:bCs/>
          <w:color w:val="000000"/>
          <w:lang w:val="fr-FR"/>
        </w:rPr>
        <w:t xml:space="preserve"> </w:t>
      </w:r>
      <w:r>
        <w:rPr>
          <w:bCs/>
          <w:color w:val="000000"/>
          <w:lang w:val="fr-FR"/>
        </w:rPr>
        <w:t>décembre 2009</w:t>
      </w:r>
      <w:r w:rsidRPr="001C4D48">
        <w:rPr>
          <w:lang w:val="fr-FR"/>
        </w:rPr>
        <w:t>)</w:t>
      </w:r>
      <w:r>
        <w:rPr>
          <w:lang w:val="fr-FR"/>
        </w:rPr>
        <w:t xml:space="preserve">. </w:t>
      </w:r>
      <w:r w:rsidRPr="001C4D48">
        <w:rPr>
          <w:lang w:val="fr-FR"/>
        </w:rPr>
        <w:t>Or, la circonstance que l</w:t>
      </w:r>
      <w:r w:rsidR="00636A28">
        <w:rPr>
          <w:lang w:val="fr-FR"/>
        </w:rPr>
        <w:t>’</w:t>
      </w:r>
      <w:r w:rsidRPr="001C4D48">
        <w:rPr>
          <w:lang w:val="fr-FR"/>
        </w:rPr>
        <w:t>administration ait suivi l</w:t>
      </w:r>
      <w:r w:rsidR="00636A28">
        <w:rPr>
          <w:lang w:val="fr-FR"/>
        </w:rPr>
        <w:t>’</w:t>
      </w:r>
      <w:r w:rsidRPr="001C4D48">
        <w:rPr>
          <w:lang w:val="fr-FR"/>
        </w:rPr>
        <w:t xml:space="preserve">une de ces interprétations, non manifestement arbitraire, ne saurait automatiquement conférer au particulier un droit à dédommagement, même </w:t>
      </w:r>
      <w:r>
        <w:rPr>
          <w:lang w:val="fr-FR"/>
        </w:rPr>
        <w:t>lorsque</w:t>
      </w:r>
      <w:r w:rsidRPr="001C4D48">
        <w:rPr>
          <w:lang w:val="fr-FR"/>
        </w:rPr>
        <w:t xml:space="preserve"> l</w:t>
      </w:r>
      <w:r w:rsidR="00636A28">
        <w:rPr>
          <w:lang w:val="fr-FR"/>
        </w:rPr>
        <w:t>’</w:t>
      </w:r>
      <w:r w:rsidRPr="001C4D48">
        <w:rPr>
          <w:lang w:val="fr-FR"/>
        </w:rPr>
        <w:t>interprétation en question a par la suite ét</w:t>
      </w:r>
      <w:r>
        <w:rPr>
          <w:lang w:val="fr-FR"/>
        </w:rPr>
        <w:t>é</w:t>
      </w:r>
      <w:r w:rsidRPr="001C4D48">
        <w:rPr>
          <w:lang w:val="fr-FR"/>
        </w:rPr>
        <w:t xml:space="preserve"> renversée par le</w:t>
      </w:r>
      <w:r>
        <w:rPr>
          <w:lang w:val="fr-FR"/>
        </w:rPr>
        <w:t xml:space="preserve"> juge administratif</w:t>
      </w:r>
      <w:r w:rsidRPr="001C4D48">
        <w:rPr>
          <w:lang w:val="fr-FR"/>
        </w:rPr>
        <w:t>.</w:t>
      </w:r>
    </w:p>
    <w:p w:rsidR="000D6569" w:rsidRDefault="000D6569" w:rsidP="000D6569">
      <w:pPr>
        <w:pStyle w:val="ECHRPara"/>
        <w:rPr>
          <w:lang w:val="fr-FR"/>
        </w:rPr>
      </w:pPr>
      <w:proofErr w:type="gramStart"/>
      <w:r>
        <w:rPr>
          <w:lang w:val="fr-FR"/>
        </w:rPr>
        <w:t>55.  </w:t>
      </w:r>
      <w:r w:rsidRPr="003434E6">
        <w:rPr>
          <w:lang w:val="fr-FR"/>
        </w:rPr>
        <w:t>Par ailleurs, dans la mesure où la proportionnalité d</w:t>
      </w:r>
      <w:r w:rsidR="00636A28">
        <w:rPr>
          <w:lang w:val="fr-FR"/>
        </w:rPr>
        <w:t>’</w:t>
      </w:r>
      <w:r w:rsidRPr="003434E6">
        <w:rPr>
          <w:lang w:val="fr-FR"/>
        </w:rPr>
        <w:t>une ingérence avec le droit d</w:t>
      </w:r>
      <w:r w:rsidR="00636A28">
        <w:rPr>
          <w:lang w:val="fr-FR"/>
        </w:rPr>
        <w:t>’</w:t>
      </w:r>
      <w:r w:rsidRPr="003434E6">
        <w:rPr>
          <w:lang w:val="fr-FR"/>
        </w:rPr>
        <w:t>un propriétaire au respect de ses biens peut dépendre également de l</w:t>
      </w:r>
      <w:r w:rsidR="00636A28">
        <w:rPr>
          <w:lang w:val="fr-FR"/>
        </w:rPr>
        <w:t>’</w:t>
      </w:r>
      <w:r w:rsidRPr="003434E6">
        <w:rPr>
          <w:lang w:val="fr-FR"/>
        </w:rPr>
        <w:t>existence de garanties procédurales permettant de veiller à ce que la mise en œuvre d</w:t>
      </w:r>
      <w:r w:rsidR="00636A28">
        <w:rPr>
          <w:lang w:val="fr-FR"/>
        </w:rPr>
        <w:t>’</w:t>
      </w:r>
      <w:r w:rsidRPr="003434E6">
        <w:rPr>
          <w:lang w:val="fr-FR"/>
        </w:rPr>
        <w:t xml:space="preserve">une politique et ses incidences pour le propriétaire ne soient ni arbitraires ni imprévisibles (voir, </w:t>
      </w:r>
      <w:r w:rsidRPr="003434E6">
        <w:rPr>
          <w:i/>
          <w:lang w:val="fr-FR"/>
        </w:rPr>
        <w:t>mutatis mutandis</w:t>
      </w:r>
      <w:r w:rsidRPr="003434E6">
        <w:rPr>
          <w:lang w:val="fr-FR"/>
        </w:rPr>
        <w:t xml:space="preserve">, </w:t>
      </w:r>
      <w:proofErr w:type="spellStart"/>
      <w:r w:rsidRPr="003434E6">
        <w:rPr>
          <w:i/>
          <w:lang w:val="fr-FR"/>
        </w:rPr>
        <w:t>Immobiliare</w:t>
      </w:r>
      <w:proofErr w:type="spellEnd"/>
      <w:r w:rsidRPr="003434E6">
        <w:rPr>
          <w:i/>
          <w:lang w:val="fr-FR"/>
        </w:rPr>
        <w:t xml:space="preserve"> </w:t>
      </w:r>
      <w:proofErr w:type="spellStart"/>
      <w:r w:rsidRPr="003434E6">
        <w:rPr>
          <w:i/>
          <w:lang w:val="fr-FR"/>
        </w:rPr>
        <w:t>Saffi</w:t>
      </w:r>
      <w:proofErr w:type="spellEnd"/>
      <w:r w:rsidRPr="003434E6">
        <w:rPr>
          <w:i/>
          <w:lang w:val="fr-FR"/>
        </w:rPr>
        <w:t xml:space="preserve"> c. Italie</w:t>
      </w:r>
      <w:r w:rsidRPr="003434E6">
        <w:rPr>
          <w:lang w:val="fr-FR"/>
        </w:rPr>
        <w:t>, n</w:t>
      </w:r>
      <w:r w:rsidRPr="003434E6">
        <w:rPr>
          <w:vertAlign w:val="superscript"/>
          <w:lang w:val="fr-FR"/>
        </w:rPr>
        <w:t>o</w:t>
      </w:r>
      <w:r w:rsidRPr="003434E6">
        <w:rPr>
          <w:lang w:val="fr-FR"/>
        </w:rPr>
        <w:t xml:space="preserve"> 22774/93, § 54, CEDH 1999-V ; </w:t>
      </w:r>
      <w:r w:rsidRPr="003434E6">
        <w:rPr>
          <w:i/>
          <w:lang w:val="fr-FR"/>
        </w:rPr>
        <w:t>Campanile et autres</w:t>
      </w:r>
      <w:r w:rsidRPr="003434E6">
        <w:rPr>
          <w:lang w:val="fr-FR"/>
        </w:rPr>
        <w:t>, décision précitée, § 34 ;</w:t>
      </w:r>
      <w:r w:rsidRPr="003434E6">
        <w:rPr>
          <w:i/>
          <w:lang w:val="fr-FR"/>
        </w:rPr>
        <w:t xml:space="preserve"> </w:t>
      </w:r>
      <w:proofErr w:type="spellStart"/>
      <w:r w:rsidRPr="003434E6">
        <w:rPr>
          <w:i/>
          <w:lang w:val="fr-FR"/>
        </w:rPr>
        <w:t>Contessa</w:t>
      </w:r>
      <w:proofErr w:type="spellEnd"/>
      <w:r w:rsidRPr="003434E6">
        <w:rPr>
          <w:i/>
          <w:lang w:val="fr-FR"/>
        </w:rPr>
        <w:t xml:space="preserve"> et autres</w:t>
      </w:r>
      <w:r w:rsidRPr="003434E6">
        <w:rPr>
          <w:lang w:val="fr-FR"/>
        </w:rPr>
        <w:t xml:space="preserve">, décision précitée, § 33 ; et </w:t>
      </w:r>
      <w:r w:rsidRPr="003434E6">
        <w:rPr>
          <w:i/>
          <w:lang w:val="fr-FR"/>
        </w:rPr>
        <w:t>D</w:t>
      </w:r>
      <w:r w:rsidR="00636A28">
        <w:rPr>
          <w:i/>
          <w:lang w:val="fr-FR"/>
        </w:rPr>
        <w:t>’</w:t>
      </w:r>
      <w:r w:rsidRPr="003434E6">
        <w:rPr>
          <w:i/>
          <w:lang w:val="fr-FR"/>
        </w:rPr>
        <w:t>Alba</w:t>
      </w:r>
      <w:r w:rsidRPr="003434E6">
        <w:rPr>
          <w:lang w:val="fr-FR"/>
        </w:rPr>
        <w:t>, décision précitée, § 39), la Cour relève qu</w:t>
      </w:r>
      <w:r w:rsidR="00636A28">
        <w:rPr>
          <w:lang w:val="fr-FR"/>
        </w:rPr>
        <w:t>’</w:t>
      </w:r>
      <w:r w:rsidRPr="003434E6">
        <w:rPr>
          <w:lang w:val="fr-FR"/>
        </w:rPr>
        <w:t>en l</w:t>
      </w:r>
      <w:r w:rsidR="00636A28">
        <w:rPr>
          <w:lang w:val="fr-FR"/>
        </w:rPr>
        <w:t>’</w:t>
      </w:r>
      <w:r w:rsidRPr="003434E6">
        <w:rPr>
          <w:lang w:val="fr-FR"/>
        </w:rPr>
        <w:t>espèce, la requérante a pu saisir le TAR de la Ligurie de recours en annulation des décision</w:t>
      </w:r>
      <w:r>
        <w:rPr>
          <w:lang w:val="fr-FR"/>
        </w:rPr>
        <w:t>s</w:t>
      </w:r>
      <w:r w:rsidRPr="003434E6">
        <w:rPr>
          <w:lang w:val="fr-FR"/>
        </w:rPr>
        <w:t xml:space="preserve"> par lesquelles, les 17 mai 1990 et 29 juillet 1994, la municipalité de Sanremo a rejeté ses demandes de permis de construire.</w:t>
      </w:r>
      <w:proofErr w:type="gramEnd"/>
      <w:r w:rsidRPr="003434E6">
        <w:rPr>
          <w:lang w:val="fr-FR"/>
        </w:rPr>
        <w:t xml:space="preserve"> Cette juridiction était compétente pour connaître de l</w:t>
      </w:r>
      <w:r w:rsidR="00636A28">
        <w:rPr>
          <w:lang w:val="fr-FR"/>
        </w:rPr>
        <w:t>’</w:t>
      </w:r>
      <w:r w:rsidRPr="003434E6">
        <w:rPr>
          <w:lang w:val="fr-FR"/>
        </w:rPr>
        <w:t>affaire en fait comme en droit, et rien ne prouve qu</w:t>
      </w:r>
      <w:r w:rsidR="00636A28">
        <w:rPr>
          <w:lang w:val="fr-FR"/>
        </w:rPr>
        <w:t>’</w:t>
      </w:r>
      <w:r w:rsidRPr="003434E6">
        <w:rPr>
          <w:lang w:val="fr-FR"/>
        </w:rPr>
        <w:t>elle ait apprécié les faits et les éléments de droit interne de manière arbitraire. Par ailleurs, le TAR a à deux reprises annulé les arrêtés litigieux, accueillant les recours de la requérante (paragraphes</w:t>
      </w:r>
      <w:r w:rsidR="00EC334C">
        <w:rPr>
          <w:lang w:val="fr-FR"/>
        </w:rPr>
        <w:t xml:space="preserve"> </w:t>
      </w:r>
      <w:r>
        <w:rPr>
          <w:lang w:val="fr-FR"/>
        </w:rPr>
        <w:t>11</w:t>
      </w:r>
      <w:r w:rsidRPr="003434E6">
        <w:rPr>
          <w:lang w:val="fr-FR"/>
        </w:rPr>
        <w:t>-</w:t>
      </w:r>
      <w:r>
        <w:rPr>
          <w:lang w:val="fr-FR"/>
        </w:rPr>
        <w:t>12</w:t>
      </w:r>
      <w:r w:rsidRPr="003434E6">
        <w:rPr>
          <w:lang w:val="fr-FR"/>
        </w:rPr>
        <w:t xml:space="preserve"> et </w:t>
      </w:r>
      <w:r>
        <w:rPr>
          <w:lang w:val="fr-FR"/>
        </w:rPr>
        <w:t>17</w:t>
      </w:r>
      <w:r w:rsidR="006D7840">
        <w:rPr>
          <w:lang w:val="fr-FR"/>
        </w:rPr>
        <w:noBreakHyphen/>
      </w:r>
      <w:r>
        <w:rPr>
          <w:lang w:val="fr-FR"/>
        </w:rPr>
        <w:t>18</w:t>
      </w:r>
      <w:r w:rsidRPr="003434E6">
        <w:rPr>
          <w:lang w:val="fr-FR"/>
        </w:rPr>
        <w:t xml:space="preserve"> ci-dessus)</w:t>
      </w:r>
      <w:r>
        <w:rPr>
          <w:lang w:val="fr-FR"/>
        </w:rPr>
        <w:t>.</w:t>
      </w:r>
    </w:p>
    <w:p w:rsidR="000D6569" w:rsidRDefault="000D6569" w:rsidP="000D6569">
      <w:pPr>
        <w:pStyle w:val="ECHRPara"/>
        <w:rPr>
          <w:lang w:val="fr-FR"/>
        </w:rPr>
      </w:pPr>
      <w:r>
        <w:rPr>
          <w:lang w:val="fr-FR"/>
        </w:rPr>
        <w:lastRenderedPageBreak/>
        <w:t>56.  Certes, les procédures internes ayant conduit à l</w:t>
      </w:r>
      <w:r w:rsidR="00636A28">
        <w:rPr>
          <w:lang w:val="fr-FR"/>
        </w:rPr>
        <w:t>’</w:t>
      </w:r>
      <w:r>
        <w:rPr>
          <w:lang w:val="fr-FR"/>
        </w:rPr>
        <w:t xml:space="preserve">octroi du permis se sont étalées sur des nombreuses années. </w:t>
      </w:r>
      <w:proofErr w:type="gramStart"/>
      <w:r>
        <w:rPr>
          <w:lang w:val="fr-FR"/>
        </w:rPr>
        <w:t xml:space="preserve">Cependant, </w:t>
      </w:r>
      <w:r w:rsidRPr="00AA51F2">
        <w:rPr>
          <w:lang w:val="fr-FR"/>
        </w:rPr>
        <w:t>la Cour rappelle que, dans la mesure où la violation alléguée du droit de propriété est étroitement liée à la durée d</w:t>
      </w:r>
      <w:r w:rsidR="00636A28">
        <w:rPr>
          <w:lang w:val="fr-FR"/>
        </w:rPr>
        <w:t>’</w:t>
      </w:r>
      <w:r w:rsidRPr="00AA51F2">
        <w:rPr>
          <w:lang w:val="fr-FR"/>
        </w:rPr>
        <w:t>une procédure et en constitue une conséquence indirecte, la « loi</w:t>
      </w:r>
      <w:r w:rsidR="00EC334C">
        <w:rPr>
          <w:lang w:val="fr-FR"/>
        </w:rPr>
        <w:t xml:space="preserve"> </w:t>
      </w:r>
      <w:r w:rsidRPr="00AA51F2">
        <w:rPr>
          <w:lang w:val="fr-FR"/>
        </w:rPr>
        <w:t>Pinto » permet de solliciter une décision qui peut s</w:t>
      </w:r>
      <w:r w:rsidR="00636A28">
        <w:rPr>
          <w:lang w:val="fr-FR"/>
        </w:rPr>
        <w:t>’</w:t>
      </w:r>
      <w:r w:rsidRPr="00AA51F2">
        <w:rPr>
          <w:lang w:val="fr-FR"/>
        </w:rPr>
        <w:t>inscrire dans la logique de la jurisprudence de la Cour quant à l</w:t>
      </w:r>
      <w:r w:rsidR="00636A28">
        <w:rPr>
          <w:lang w:val="fr-FR"/>
        </w:rPr>
        <w:t>’</w:t>
      </w:r>
      <w:r w:rsidRPr="00AA51F2">
        <w:rPr>
          <w:lang w:val="fr-FR"/>
        </w:rPr>
        <w:t>article 1 du Protocole</w:t>
      </w:r>
      <w:r w:rsidR="00EC334C">
        <w:rPr>
          <w:lang w:val="fr-FR"/>
        </w:rPr>
        <w:t xml:space="preserve"> </w:t>
      </w:r>
      <w:r w:rsidRPr="00AA51F2">
        <w:rPr>
          <w:lang w:val="fr-FR"/>
        </w:rPr>
        <w:t>n</w:t>
      </w:r>
      <w:r w:rsidRPr="000D6569">
        <w:rPr>
          <w:vertAlign w:val="superscript"/>
          <w:lang w:val="fr-FR"/>
        </w:rPr>
        <w:t>o</w:t>
      </w:r>
      <w:r w:rsidRPr="00AA51F2">
        <w:rPr>
          <w:lang w:val="fr-FR"/>
        </w:rPr>
        <w:t xml:space="preserve"> 1 à la Convention</w:t>
      </w:r>
      <w:r w:rsidRPr="00AA51F2">
        <w:rPr>
          <w:szCs w:val="24"/>
          <w:lang w:val="fr-FR"/>
        </w:rPr>
        <w:t xml:space="preserve"> (</w:t>
      </w:r>
      <w:proofErr w:type="spellStart"/>
      <w:r w:rsidRPr="00AA51F2">
        <w:rPr>
          <w:i/>
          <w:lang w:val="fr-FR"/>
        </w:rPr>
        <w:t>Capestrani</w:t>
      </w:r>
      <w:proofErr w:type="spellEnd"/>
      <w:r w:rsidRPr="00AA51F2">
        <w:rPr>
          <w:i/>
          <w:lang w:val="fr-FR"/>
        </w:rPr>
        <w:t xml:space="preserve"> c.</w:t>
      </w:r>
      <w:r w:rsidR="00EC334C">
        <w:rPr>
          <w:i/>
          <w:lang w:val="fr-FR"/>
        </w:rPr>
        <w:t xml:space="preserve"> </w:t>
      </w:r>
      <w:r w:rsidRPr="00AA51F2">
        <w:rPr>
          <w:i/>
          <w:lang w:val="fr-FR"/>
        </w:rPr>
        <w:t xml:space="preserve">Italie </w:t>
      </w:r>
      <w:r w:rsidRPr="00AA51F2">
        <w:rPr>
          <w:lang w:val="fr-FR"/>
        </w:rPr>
        <w:t>(déc.), n</w:t>
      </w:r>
      <w:r w:rsidRPr="00AA51F2">
        <w:rPr>
          <w:vertAlign w:val="superscript"/>
          <w:lang w:val="fr-FR"/>
        </w:rPr>
        <w:t>o</w:t>
      </w:r>
      <w:r w:rsidR="00EC334C">
        <w:rPr>
          <w:vertAlign w:val="superscript"/>
          <w:lang w:val="fr-FR"/>
        </w:rPr>
        <w:t xml:space="preserve"> </w:t>
      </w:r>
      <w:r w:rsidRPr="00AA51F2">
        <w:rPr>
          <w:lang w:val="fr-FR"/>
        </w:rPr>
        <w:t>46617/99, 27</w:t>
      </w:r>
      <w:r w:rsidR="00EC334C">
        <w:rPr>
          <w:lang w:val="fr-FR"/>
        </w:rPr>
        <w:t xml:space="preserve"> </w:t>
      </w:r>
      <w:r w:rsidRPr="00AA51F2">
        <w:rPr>
          <w:lang w:val="fr-FR"/>
        </w:rPr>
        <w:t xml:space="preserve">janvier 2005 ; </w:t>
      </w:r>
      <w:proofErr w:type="spellStart"/>
      <w:r w:rsidRPr="00AA51F2">
        <w:rPr>
          <w:i/>
          <w:lang w:val="fr-FR"/>
        </w:rPr>
        <w:t>Recupero</w:t>
      </w:r>
      <w:proofErr w:type="spellEnd"/>
      <w:r w:rsidRPr="00AA51F2">
        <w:rPr>
          <w:i/>
          <w:lang w:val="fr-FR"/>
        </w:rPr>
        <w:t xml:space="preserve"> c. Italie </w:t>
      </w:r>
      <w:r w:rsidRPr="00AA51F2">
        <w:rPr>
          <w:lang w:val="fr-FR"/>
        </w:rPr>
        <w:t>(déc.), n</w:t>
      </w:r>
      <w:r w:rsidRPr="00AA51F2">
        <w:rPr>
          <w:vertAlign w:val="superscript"/>
          <w:lang w:val="fr-FR"/>
        </w:rPr>
        <w:t>o</w:t>
      </w:r>
      <w:r w:rsidR="00EC334C">
        <w:rPr>
          <w:vertAlign w:val="superscript"/>
          <w:lang w:val="fr-FR"/>
        </w:rPr>
        <w:t xml:space="preserve"> </w:t>
      </w:r>
      <w:r w:rsidRPr="00AA51F2">
        <w:rPr>
          <w:lang w:val="fr-FR"/>
        </w:rPr>
        <w:t>77713/01, 17</w:t>
      </w:r>
      <w:r w:rsidR="00EC334C">
        <w:rPr>
          <w:lang w:val="fr-FR"/>
        </w:rPr>
        <w:t xml:space="preserve"> </w:t>
      </w:r>
      <w:r w:rsidRPr="00AA51F2">
        <w:rPr>
          <w:lang w:val="fr-FR"/>
        </w:rPr>
        <w:t xml:space="preserve">mars 2005 ; </w:t>
      </w:r>
      <w:r w:rsidRPr="00AA51F2">
        <w:rPr>
          <w:i/>
          <w:lang w:val="fr-FR"/>
        </w:rPr>
        <w:t xml:space="preserve">De Filippo c. Italie </w:t>
      </w:r>
      <w:r w:rsidRPr="00AA51F2">
        <w:rPr>
          <w:lang w:val="fr-FR"/>
        </w:rPr>
        <w:t>(déc.), n</w:t>
      </w:r>
      <w:r w:rsidRPr="00AA51F2">
        <w:rPr>
          <w:vertAlign w:val="superscript"/>
          <w:lang w:val="fr-FR"/>
        </w:rPr>
        <w:t>o</w:t>
      </w:r>
      <w:r w:rsidRPr="00AA51F2">
        <w:rPr>
          <w:lang w:val="fr-FR"/>
        </w:rPr>
        <w:t xml:space="preserve"> 72112/01, 27</w:t>
      </w:r>
      <w:r w:rsidR="00EC334C">
        <w:rPr>
          <w:lang w:val="fr-FR"/>
        </w:rPr>
        <w:t xml:space="preserve"> </w:t>
      </w:r>
      <w:r w:rsidRPr="00AA51F2">
        <w:rPr>
          <w:lang w:val="fr-FR"/>
        </w:rPr>
        <w:t xml:space="preserve">mars 2007 ; </w:t>
      </w:r>
      <w:proofErr w:type="spellStart"/>
      <w:r w:rsidRPr="00AA51F2">
        <w:rPr>
          <w:i/>
          <w:lang w:val="fr-FR"/>
        </w:rPr>
        <w:t>Contessa</w:t>
      </w:r>
      <w:proofErr w:type="spellEnd"/>
      <w:r w:rsidRPr="00AA51F2">
        <w:rPr>
          <w:i/>
          <w:lang w:val="fr-FR"/>
        </w:rPr>
        <w:t xml:space="preserve"> et autres</w:t>
      </w:r>
      <w:r w:rsidRPr="00AA51F2">
        <w:rPr>
          <w:lang w:val="fr-FR"/>
        </w:rPr>
        <w:t>, décision précitée, §</w:t>
      </w:r>
      <w:r>
        <w:rPr>
          <w:lang w:val="fr-FR"/>
        </w:rPr>
        <w:t> </w:t>
      </w:r>
      <w:r w:rsidRPr="00AA51F2">
        <w:rPr>
          <w:lang w:val="fr-FR"/>
        </w:rPr>
        <w:t>34 ;</w:t>
      </w:r>
      <w:r>
        <w:rPr>
          <w:lang w:val="fr-FR"/>
        </w:rPr>
        <w:t xml:space="preserve"> et</w:t>
      </w:r>
      <w:r w:rsidRPr="00AA51F2">
        <w:rPr>
          <w:lang w:val="fr-FR"/>
        </w:rPr>
        <w:t xml:space="preserve"> </w:t>
      </w:r>
      <w:r w:rsidRPr="00AA51F2">
        <w:rPr>
          <w:i/>
          <w:lang w:val="fr-FR"/>
        </w:rPr>
        <w:t>D</w:t>
      </w:r>
      <w:r w:rsidR="00636A28">
        <w:rPr>
          <w:i/>
          <w:lang w:val="fr-FR"/>
        </w:rPr>
        <w:t>’</w:t>
      </w:r>
      <w:r w:rsidRPr="00AA51F2">
        <w:rPr>
          <w:i/>
          <w:lang w:val="fr-FR"/>
        </w:rPr>
        <w:t>Alba</w:t>
      </w:r>
      <w:r w:rsidRPr="00AA51F2">
        <w:rPr>
          <w:lang w:val="fr-FR"/>
        </w:rPr>
        <w:t>, décision précitée, § 41).</w:t>
      </w:r>
      <w:proofErr w:type="gramEnd"/>
      <w:r>
        <w:rPr>
          <w:lang w:val="fr-FR"/>
        </w:rPr>
        <w:t xml:space="preserve"> En l</w:t>
      </w:r>
      <w:r w:rsidR="00636A28">
        <w:rPr>
          <w:lang w:val="fr-FR"/>
        </w:rPr>
        <w:t>’</w:t>
      </w:r>
      <w:r>
        <w:rPr>
          <w:lang w:val="fr-FR"/>
        </w:rPr>
        <w:t>espèce, la requérante a saisi le TAR et le Conseil d</w:t>
      </w:r>
      <w:r w:rsidR="00636A28">
        <w:rPr>
          <w:lang w:val="fr-FR"/>
        </w:rPr>
        <w:t>’</w:t>
      </w:r>
      <w:r>
        <w:rPr>
          <w:lang w:val="fr-FR"/>
        </w:rPr>
        <w:t>État d</w:t>
      </w:r>
      <w:r w:rsidR="00636A28">
        <w:rPr>
          <w:lang w:val="fr-FR"/>
        </w:rPr>
        <w:t>’</w:t>
      </w:r>
      <w:r>
        <w:rPr>
          <w:lang w:val="fr-FR"/>
        </w:rPr>
        <w:t>une demande en dédommagement pour le rejet réitéré de ses demandes de permis d</w:t>
      </w:r>
      <w:r w:rsidR="006D7840">
        <w:rPr>
          <w:lang w:val="fr-FR"/>
        </w:rPr>
        <w:t>e construire (paragraphe 21 ci</w:t>
      </w:r>
      <w:r w:rsidR="006D7840">
        <w:rPr>
          <w:lang w:val="fr-FR"/>
        </w:rPr>
        <w:noBreakHyphen/>
      </w:r>
      <w:r>
        <w:rPr>
          <w:lang w:val="fr-FR"/>
        </w:rPr>
        <w:t>dessus), mais n</w:t>
      </w:r>
      <w:r w:rsidR="00636A28">
        <w:rPr>
          <w:lang w:val="fr-FR"/>
        </w:rPr>
        <w:t>’</w:t>
      </w:r>
      <w:r>
        <w:rPr>
          <w:lang w:val="fr-FR"/>
        </w:rPr>
        <w:t>a pas introduit un recours aux termes de la loi « Pinto » (</w:t>
      </w:r>
      <w:r w:rsidRPr="00AA51F2">
        <w:rPr>
          <w:lang w:val="fr-FR"/>
        </w:rPr>
        <w:t xml:space="preserve">voir, </w:t>
      </w:r>
      <w:r w:rsidRPr="00AA51F2">
        <w:rPr>
          <w:i/>
          <w:lang w:val="fr-FR"/>
        </w:rPr>
        <w:t>mutatis mutandis</w:t>
      </w:r>
      <w:r w:rsidRPr="00AA51F2">
        <w:rPr>
          <w:lang w:val="fr-FR"/>
        </w:rPr>
        <w:t xml:space="preserve">, </w:t>
      </w:r>
      <w:proofErr w:type="spellStart"/>
      <w:r w:rsidRPr="00AA51F2">
        <w:rPr>
          <w:i/>
          <w:lang w:val="fr-FR"/>
        </w:rPr>
        <w:t>Contessa</w:t>
      </w:r>
      <w:proofErr w:type="spellEnd"/>
      <w:r w:rsidRPr="00AA51F2">
        <w:rPr>
          <w:i/>
          <w:lang w:val="fr-FR"/>
        </w:rPr>
        <w:t xml:space="preserve"> et autres</w:t>
      </w:r>
      <w:r w:rsidRPr="00AA51F2">
        <w:rPr>
          <w:lang w:val="fr-FR"/>
        </w:rPr>
        <w:t>, décision précitée, §</w:t>
      </w:r>
      <w:r w:rsidR="00EC334C">
        <w:rPr>
          <w:lang w:val="fr-FR"/>
        </w:rPr>
        <w:t xml:space="preserve"> </w:t>
      </w:r>
      <w:r w:rsidRPr="00AA51F2">
        <w:rPr>
          <w:lang w:val="fr-FR"/>
        </w:rPr>
        <w:t xml:space="preserve">35, et </w:t>
      </w:r>
      <w:r w:rsidRPr="00AA51F2">
        <w:rPr>
          <w:i/>
          <w:lang w:val="fr-FR"/>
        </w:rPr>
        <w:t>D</w:t>
      </w:r>
      <w:r w:rsidR="00636A28">
        <w:rPr>
          <w:i/>
          <w:lang w:val="fr-FR"/>
        </w:rPr>
        <w:t>’</w:t>
      </w:r>
      <w:r w:rsidRPr="00AA51F2">
        <w:rPr>
          <w:i/>
          <w:lang w:val="fr-FR"/>
        </w:rPr>
        <w:t>Alba</w:t>
      </w:r>
      <w:r w:rsidRPr="00AA51F2">
        <w:rPr>
          <w:lang w:val="fr-FR"/>
        </w:rPr>
        <w:t>, décision précitée, § 42)</w:t>
      </w:r>
      <w:r>
        <w:rPr>
          <w:lang w:val="fr-FR"/>
        </w:rPr>
        <w:t>.</w:t>
      </w:r>
    </w:p>
    <w:p w:rsidR="000D6569" w:rsidRDefault="000D6569" w:rsidP="000D6569">
      <w:pPr>
        <w:pStyle w:val="ECHRPara"/>
        <w:rPr>
          <w:lang w:val="fr-FR"/>
        </w:rPr>
      </w:pPr>
      <w:r>
        <w:rPr>
          <w:lang w:val="fr-FR"/>
        </w:rPr>
        <w:t>57.  Enfin, la Cour note que la présente affaire se distingue de l</w:t>
      </w:r>
      <w:r w:rsidR="00636A28">
        <w:rPr>
          <w:lang w:val="fr-FR"/>
        </w:rPr>
        <w:t>’</w:t>
      </w:r>
      <w:r>
        <w:rPr>
          <w:lang w:val="fr-FR"/>
        </w:rPr>
        <w:t xml:space="preserve">affaire </w:t>
      </w:r>
      <w:proofErr w:type="spellStart"/>
      <w:r>
        <w:rPr>
          <w:i/>
          <w:lang w:val="fr-FR"/>
        </w:rPr>
        <w:t>Assymomitis</w:t>
      </w:r>
      <w:proofErr w:type="spellEnd"/>
      <w:r>
        <w:rPr>
          <w:i/>
          <w:lang w:val="fr-FR"/>
        </w:rPr>
        <w:t xml:space="preserve"> </w:t>
      </w:r>
      <w:r>
        <w:rPr>
          <w:lang w:val="fr-FR"/>
        </w:rPr>
        <w:t>(arrêt précité, §§ 52-57), invoquée par la requérante (paragraphe 33 ci-dessus), où les actes et omissions de l</w:t>
      </w:r>
      <w:r w:rsidR="00636A28">
        <w:rPr>
          <w:lang w:val="fr-FR"/>
        </w:rPr>
        <w:t>’</w:t>
      </w:r>
      <w:r>
        <w:rPr>
          <w:lang w:val="fr-FR"/>
        </w:rPr>
        <w:t>administration avaient remis en question un permis de construire déjà octroyé, ce qui avait conduit à un arrêt des travaux pendant six ans et quatre mois.</w:t>
      </w:r>
    </w:p>
    <w:p w:rsidR="000D6569" w:rsidRDefault="000D6569" w:rsidP="000D6569">
      <w:pPr>
        <w:pStyle w:val="ECHRPara"/>
        <w:rPr>
          <w:lang w:val="fr-FR"/>
        </w:rPr>
      </w:pPr>
      <w:r>
        <w:rPr>
          <w:lang w:val="fr-FR"/>
        </w:rPr>
        <w:t>58</w:t>
      </w:r>
      <w:r w:rsidRPr="002634A2">
        <w:rPr>
          <w:lang w:val="fr-FR"/>
        </w:rPr>
        <w:t>.  Eu égard aux circonstances particulières entourant les demandes de permis de construire de la requérante, et ayant procédé à une appréciation globale des faits du cas d</w:t>
      </w:r>
      <w:r w:rsidR="00636A28">
        <w:rPr>
          <w:lang w:val="fr-FR"/>
        </w:rPr>
        <w:t>’</w:t>
      </w:r>
      <w:r w:rsidRPr="002634A2">
        <w:rPr>
          <w:lang w:val="fr-FR"/>
        </w:rPr>
        <w:t>espèce, la Cour conclu</w:t>
      </w:r>
      <w:r>
        <w:rPr>
          <w:lang w:val="fr-FR"/>
        </w:rPr>
        <w:t>t</w:t>
      </w:r>
      <w:r w:rsidRPr="002634A2">
        <w:rPr>
          <w:lang w:val="fr-FR"/>
        </w:rPr>
        <w:t xml:space="preserve"> que</w:t>
      </w:r>
      <w:r w:rsidRPr="002634A2">
        <w:rPr>
          <w:szCs w:val="24"/>
          <w:lang w:val="fr-FR"/>
        </w:rPr>
        <w:t xml:space="preserve"> l</w:t>
      </w:r>
      <w:r w:rsidR="00636A28">
        <w:rPr>
          <w:szCs w:val="24"/>
          <w:lang w:val="fr-FR"/>
        </w:rPr>
        <w:t>’</w:t>
      </w:r>
      <w:r w:rsidRPr="002634A2">
        <w:rPr>
          <w:szCs w:val="24"/>
          <w:lang w:val="fr-FR"/>
        </w:rPr>
        <w:t xml:space="preserve">ingérence litigieuse </w:t>
      </w:r>
      <w:r>
        <w:rPr>
          <w:szCs w:val="24"/>
          <w:lang w:val="fr-FR"/>
        </w:rPr>
        <w:t>n</w:t>
      </w:r>
      <w:r w:rsidR="00636A28">
        <w:rPr>
          <w:szCs w:val="24"/>
          <w:lang w:val="fr-FR"/>
        </w:rPr>
        <w:t>’</w:t>
      </w:r>
      <w:r w:rsidRPr="002634A2">
        <w:rPr>
          <w:szCs w:val="24"/>
          <w:lang w:val="fr-FR"/>
        </w:rPr>
        <w:t xml:space="preserve">a </w:t>
      </w:r>
      <w:r>
        <w:rPr>
          <w:szCs w:val="24"/>
          <w:lang w:val="fr-FR"/>
        </w:rPr>
        <w:t xml:space="preserve">pas </w:t>
      </w:r>
      <w:r w:rsidRPr="002634A2">
        <w:rPr>
          <w:szCs w:val="24"/>
          <w:lang w:val="fr-FR"/>
        </w:rPr>
        <w:t>enfreint le juste équilibre devant régner, en matière de réglementation de l</w:t>
      </w:r>
      <w:r w:rsidR="00636A28">
        <w:rPr>
          <w:szCs w:val="24"/>
          <w:lang w:val="fr-FR"/>
        </w:rPr>
        <w:t>’</w:t>
      </w:r>
      <w:r w:rsidRPr="002634A2">
        <w:rPr>
          <w:szCs w:val="24"/>
          <w:lang w:val="fr-FR"/>
        </w:rPr>
        <w:t>usage des biens,</w:t>
      </w:r>
      <w:r w:rsidRPr="002634A2">
        <w:rPr>
          <w:lang w:val="fr-FR"/>
        </w:rPr>
        <w:t xml:space="preserve"> entre l</w:t>
      </w:r>
      <w:r w:rsidR="00636A28">
        <w:rPr>
          <w:lang w:val="fr-FR"/>
        </w:rPr>
        <w:t>’</w:t>
      </w:r>
      <w:r w:rsidRPr="002634A2">
        <w:rPr>
          <w:lang w:val="fr-FR"/>
        </w:rPr>
        <w:t>intérêt public et l</w:t>
      </w:r>
      <w:r w:rsidR="00636A28">
        <w:rPr>
          <w:lang w:val="fr-FR"/>
        </w:rPr>
        <w:t>’</w:t>
      </w:r>
      <w:r w:rsidRPr="002634A2">
        <w:rPr>
          <w:lang w:val="fr-FR"/>
        </w:rPr>
        <w:t>intérêt privé</w:t>
      </w:r>
      <w:r>
        <w:rPr>
          <w:lang w:val="fr-FR"/>
        </w:rPr>
        <w:t>. En particulier,</w:t>
      </w:r>
      <w:r w:rsidRPr="00E41E50">
        <w:rPr>
          <w:lang w:val="fr-FR"/>
        </w:rPr>
        <w:t xml:space="preserve"> la requérante n</w:t>
      </w:r>
      <w:r w:rsidR="00636A28">
        <w:rPr>
          <w:lang w:val="fr-FR"/>
        </w:rPr>
        <w:t>’</w:t>
      </w:r>
      <w:r w:rsidRPr="00E41E50">
        <w:rPr>
          <w:lang w:val="fr-FR"/>
        </w:rPr>
        <w:t>a pas été contrainte de supporter une charge excessive et exorbitante</w:t>
      </w:r>
      <w:r>
        <w:rPr>
          <w:lang w:val="fr-FR"/>
        </w:rPr>
        <w:t>.</w:t>
      </w:r>
    </w:p>
    <w:p w:rsidR="000D6569" w:rsidRPr="007122F1" w:rsidRDefault="000D6569" w:rsidP="000D6569">
      <w:pPr>
        <w:pStyle w:val="ECHRPara"/>
        <w:rPr>
          <w:lang w:val="fr-FR"/>
        </w:rPr>
      </w:pPr>
      <w:r>
        <w:rPr>
          <w:lang w:val="fr-FR"/>
        </w:rPr>
        <w:t>59.  </w:t>
      </w:r>
      <w:r>
        <w:rPr>
          <w:rFonts w:cstheme="minorHAnsi"/>
          <w:lang w:val="fr-FR"/>
        </w:rPr>
        <w:t>À</w:t>
      </w:r>
      <w:r>
        <w:rPr>
          <w:lang w:val="fr-FR"/>
        </w:rPr>
        <w:t xml:space="preserve"> cet égard, la Cour rappelle qu</w:t>
      </w:r>
      <w:r w:rsidR="00636A28">
        <w:rPr>
          <w:lang w:val="fr-FR"/>
        </w:rPr>
        <w:t>’</w:t>
      </w:r>
      <w:r>
        <w:rPr>
          <w:lang w:val="fr-FR"/>
        </w:rPr>
        <w:t>elle a déjà considéré comme conformes à l</w:t>
      </w:r>
      <w:r w:rsidR="00636A28">
        <w:rPr>
          <w:lang w:val="fr-FR"/>
        </w:rPr>
        <w:t>’</w:t>
      </w:r>
      <w:r>
        <w:rPr>
          <w:lang w:val="fr-FR"/>
        </w:rPr>
        <w:t>intérêt général et proportionnelles des restrictions apportées à la faculté de construire imposées, respectivement, par un nouveau PRG, pour protéger des immeubles ayant une valeur historique ou culturelle, pour créer des espaces verts publics et pour la construction d</w:t>
      </w:r>
      <w:r w:rsidR="00636A28">
        <w:rPr>
          <w:lang w:val="fr-FR"/>
        </w:rPr>
        <w:t>’</w:t>
      </w:r>
      <w:r>
        <w:rPr>
          <w:lang w:val="fr-FR"/>
        </w:rPr>
        <w:t xml:space="preserve">habitations à loyer modéré (voir les décisions précitées suivantes : </w:t>
      </w:r>
      <w:r w:rsidRPr="00FA1CFC">
        <w:rPr>
          <w:i/>
          <w:szCs w:val="24"/>
          <w:lang w:val="fr-FR"/>
        </w:rPr>
        <w:t xml:space="preserve">Casa </w:t>
      </w:r>
      <w:proofErr w:type="spellStart"/>
      <w:r w:rsidRPr="00FA1CFC">
        <w:rPr>
          <w:i/>
          <w:szCs w:val="24"/>
          <w:lang w:val="fr-FR"/>
        </w:rPr>
        <w:t>Missionaria</w:t>
      </w:r>
      <w:proofErr w:type="spellEnd"/>
      <w:r w:rsidRPr="00FA1CFC">
        <w:rPr>
          <w:i/>
          <w:szCs w:val="24"/>
          <w:lang w:val="fr-FR"/>
        </w:rPr>
        <w:t xml:space="preserve"> per le </w:t>
      </w:r>
      <w:proofErr w:type="spellStart"/>
      <w:r w:rsidRPr="00FA1CFC">
        <w:rPr>
          <w:i/>
          <w:szCs w:val="24"/>
          <w:lang w:val="fr-FR"/>
        </w:rPr>
        <w:t>Missioni</w:t>
      </w:r>
      <w:proofErr w:type="spellEnd"/>
      <w:r w:rsidRPr="00FA1CFC">
        <w:rPr>
          <w:i/>
          <w:szCs w:val="24"/>
          <w:lang w:val="fr-FR"/>
        </w:rPr>
        <w:t xml:space="preserve"> </w:t>
      </w:r>
      <w:proofErr w:type="spellStart"/>
      <w:r w:rsidRPr="00FA1CFC">
        <w:rPr>
          <w:i/>
          <w:szCs w:val="24"/>
          <w:lang w:val="fr-FR"/>
        </w:rPr>
        <w:t>estere</w:t>
      </w:r>
      <w:proofErr w:type="spellEnd"/>
      <w:r w:rsidRPr="00FA1CFC">
        <w:rPr>
          <w:i/>
          <w:szCs w:val="24"/>
          <w:lang w:val="fr-FR"/>
        </w:rPr>
        <w:t xml:space="preserve"> di </w:t>
      </w:r>
      <w:proofErr w:type="spellStart"/>
      <w:r w:rsidRPr="00FA1CFC">
        <w:rPr>
          <w:i/>
          <w:szCs w:val="24"/>
          <w:lang w:val="fr-FR"/>
        </w:rPr>
        <w:t>Steyl</w:t>
      </w:r>
      <w:proofErr w:type="spellEnd"/>
      <w:r>
        <w:rPr>
          <w:lang w:val="fr-FR"/>
        </w:rPr>
        <w:t xml:space="preserve"> ; </w:t>
      </w:r>
      <w:proofErr w:type="spellStart"/>
      <w:r>
        <w:rPr>
          <w:i/>
          <w:lang w:val="fr-FR"/>
        </w:rPr>
        <w:t>Galtieri</w:t>
      </w:r>
      <w:proofErr w:type="spellEnd"/>
      <w:r>
        <w:rPr>
          <w:i/>
          <w:lang w:val="fr-FR"/>
        </w:rPr>
        <w:t xml:space="preserve"> </w:t>
      </w:r>
      <w:r>
        <w:rPr>
          <w:lang w:val="fr-FR"/>
        </w:rPr>
        <w:t xml:space="preserve">; </w:t>
      </w:r>
      <w:r w:rsidRPr="00241C6E">
        <w:rPr>
          <w:i/>
          <w:lang w:val="fr-FR"/>
        </w:rPr>
        <w:t>Campanile et autres</w:t>
      </w:r>
      <w:r>
        <w:rPr>
          <w:lang w:val="fr-FR"/>
        </w:rPr>
        <w:t xml:space="preserve"> ; et </w:t>
      </w:r>
      <w:r>
        <w:rPr>
          <w:i/>
          <w:lang w:val="fr-FR"/>
        </w:rPr>
        <w:t>D</w:t>
      </w:r>
      <w:r w:rsidR="00636A28">
        <w:rPr>
          <w:i/>
          <w:lang w:val="fr-FR"/>
        </w:rPr>
        <w:t>’</w:t>
      </w:r>
      <w:r>
        <w:rPr>
          <w:i/>
          <w:lang w:val="fr-FR"/>
        </w:rPr>
        <w:t>Alba</w:t>
      </w:r>
      <w:r>
        <w:rPr>
          <w:lang w:val="fr-FR"/>
        </w:rPr>
        <w:t>).</w:t>
      </w:r>
    </w:p>
    <w:p w:rsidR="000D6569" w:rsidRPr="00CA5899" w:rsidRDefault="000D6569" w:rsidP="000D6569">
      <w:pPr>
        <w:pStyle w:val="ECHRPara"/>
        <w:rPr>
          <w:lang w:val="fr-FR"/>
        </w:rPr>
      </w:pPr>
      <w:r>
        <w:rPr>
          <w:lang w:val="fr-FR"/>
        </w:rPr>
        <w:t>60.  </w:t>
      </w:r>
      <w:r w:rsidRPr="002512A1">
        <w:rPr>
          <w:snapToGrid w:val="0"/>
          <w:lang w:val="fr-FR"/>
        </w:rPr>
        <w:t>Il s</w:t>
      </w:r>
      <w:r w:rsidR="00636A28">
        <w:rPr>
          <w:snapToGrid w:val="0"/>
          <w:lang w:val="fr-FR"/>
        </w:rPr>
        <w:t>’</w:t>
      </w:r>
      <w:r w:rsidRPr="002512A1">
        <w:rPr>
          <w:snapToGrid w:val="0"/>
          <w:lang w:val="fr-FR"/>
        </w:rPr>
        <w:t>ensuit que ce grief est manifestement mal fondé et doit être rejeté en application de l</w:t>
      </w:r>
      <w:r w:rsidR="00636A28">
        <w:rPr>
          <w:snapToGrid w:val="0"/>
          <w:lang w:val="fr-FR"/>
        </w:rPr>
        <w:t>’</w:t>
      </w:r>
      <w:r w:rsidRPr="002512A1">
        <w:rPr>
          <w:snapToGrid w:val="0"/>
          <w:lang w:val="fr-FR"/>
        </w:rPr>
        <w:t>article 35 §§ 3</w:t>
      </w:r>
      <w:r w:rsidR="00BA0619">
        <w:rPr>
          <w:snapToGrid w:val="0"/>
          <w:lang w:val="fr-FR"/>
        </w:rPr>
        <w:t xml:space="preserve"> </w:t>
      </w:r>
      <w:r w:rsidRPr="002512A1">
        <w:rPr>
          <w:lang w:val="fr-FR"/>
        </w:rPr>
        <w:t xml:space="preserve">a) </w:t>
      </w:r>
      <w:r w:rsidRPr="002512A1">
        <w:rPr>
          <w:snapToGrid w:val="0"/>
          <w:lang w:val="fr-FR"/>
        </w:rPr>
        <w:t>et 4 de la Convention</w:t>
      </w:r>
      <w:r w:rsidRPr="00CA5899">
        <w:rPr>
          <w:lang w:val="fr-FR"/>
        </w:rPr>
        <w:t>.</w:t>
      </w:r>
    </w:p>
    <w:p w:rsidR="000D6569" w:rsidRPr="00905EBC" w:rsidRDefault="000D6569" w:rsidP="000D6569">
      <w:pPr>
        <w:pStyle w:val="JuParaLast"/>
        <w:rPr>
          <w:lang w:val="fr-FR"/>
        </w:rPr>
      </w:pPr>
      <w:r w:rsidRPr="00905EBC">
        <w:rPr>
          <w:lang w:val="fr-FR"/>
        </w:rPr>
        <w:lastRenderedPageBreak/>
        <w:t>Par ces motifs, la Cour, à l</w:t>
      </w:r>
      <w:r w:rsidR="00636A28">
        <w:rPr>
          <w:lang w:val="fr-FR"/>
        </w:rPr>
        <w:t>’</w:t>
      </w:r>
      <w:r w:rsidRPr="00905EBC">
        <w:rPr>
          <w:lang w:val="fr-FR"/>
        </w:rPr>
        <w:t>unanimité,</w:t>
      </w:r>
    </w:p>
    <w:p w:rsidR="000D6569" w:rsidRPr="00905EBC" w:rsidRDefault="000D6569" w:rsidP="000D6569">
      <w:pPr>
        <w:pStyle w:val="DecList"/>
        <w:keepNext/>
        <w:keepLines/>
        <w:rPr>
          <w:lang w:val="fr-FR"/>
        </w:rPr>
      </w:pPr>
      <w:r w:rsidRPr="00636A28">
        <w:rPr>
          <w:i/>
          <w:lang w:val="fr-FR"/>
        </w:rPr>
        <w:t>Déclare</w:t>
      </w:r>
      <w:r w:rsidRPr="00BB4279">
        <w:rPr>
          <w:lang w:val="fr-FR"/>
        </w:rPr>
        <w:t xml:space="preserve"> la requête irrecevable</w:t>
      </w:r>
      <w:r w:rsidRPr="00905EBC">
        <w:rPr>
          <w:lang w:val="fr-FR"/>
        </w:rPr>
        <w:t>.</w:t>
      </w:r>
    </w:p>
    <w:p w:rsidR="006544C4" w:rsidRPr="00AD4F05" w:rsidRDefault="006544C4" w:rsidP="000D6569">
      <w:pPr>
        <w:pStyle w:val="ECHRPara"/>
        <w:keepNext/>
        <w:keepLines/>
        <w:rPr>
          <w:sz w:val="2"/>
          <w:szCs w:val="2"/>
          <w:lang w:val="fr-FR" w:eastAsia="en-GB"/>
        </w:rPr>
      </w:pPr>
    </w:p>
    <w:p w:rsidR="006F19B0" w:rsidRPr="000D6569" w:rsidRDefault="00F40988" w:rsidP="000D6569">
      <w:pPr>
        <w:pStyle w:val="JuParaLast"/>
        <w:rPr>
          <w:szCs w:val="24"/>
          <w:lang w:val="fr-FR"/>
        </w:rPr>
      </w:pPr>
      <w:r w:rsidRPr="00AD4F05">
        <w:rPr>
          <w:szCs w:val="24"/>
          <w:lang w:val="fr-FR"/>
        </w:rPr>
        <w:t xml:space="preserve">Fait en français puis communiqué par écrit le </w:t>
      </w:r>
      <w:r w:rsidR="000D6569">
        <w:rPr>
          <w:szCs w:val="24"/>
          <w:lang w:val="fr-FR"/>
        </w:rPr>
        <w:t>1</w:t>
      </w:r>
      <w:r w:rsidR="000D6569" w:rsidRPr="000D6569">
        <w:rPr>
          <w:szCs w:val="24"/>
          <w:vertAlign w:val="superscript"/>
          <w:lang w:val="fr-FR"/>
        </w:rPr>
        <w:t>er</w:t>
      </w:r>
      <w:r w:rsidR="000D6569">
        <w:rPr>
          <w:szCs w:val="24"/>
          <w:lang w:val="fr-FR"/>
        </w:rPr>
        <w:t xml:space="preserve"> octobre 2015</w:t>
      </w:r>
      <w:r w:rsidRPr="00AD4F05">
        <w:rPr>
          <w:lang w:val="fr-FR"/>
        </w:rPr>
        <w:t>.</w:t>
      </w:r>
    </w:p>
    <w:p w:rsidR="00234E8A" w:rsidRPr="00AD4F05" w:rsidRDefault="000D6569" w:rsidP="00BA0619">
      <w:pPr>
        <w:pStyle w:val="JuSigned"/>
        <w:keepNext/>
        <w:keepLines/>
        <w:rPr>
          <w:lang w:val="fr-FR"/>
        </w:rPr>
      </w:pPr>
      <w:r w:rsidRPr="00AD4F05">
        <w:rPr>
          <w:lang w:val="fr-FR"/>
        </w:rPr>
        <w:tab/>
      </w:r>
      <w:r>
        <w:rPr>
          <w:lang w:val="fr-FR"/>
        </w:rPr>
        <w:t>Françoise</w:t>
      </w:r>
      <w:r w:rsidRPr="00AD4F05">
        <w:rPr>
          <w:lang w:val="fr-FR"/>
        </w:rPr>
        <w:t xml:space="preserve"> </w:t>
      </w:r>
      <w:proofErr w:type="spellStart"/>
      <w:r>
        <w:rPr>
          <w:lang w:val="fr-FR"/>
        </w:rPr>
        <w:t>Elens-Passos</w:t>
      </w:r>
      <w:proofErr w:type="spellEnd"/>
      <w:r w:rsidR="006544C4" w:rsidRPr="00AD4F05">
        <w:rPr>
          <w:lang w:val="fr-FR"/>
        </w:rPr>
        <w:tab/>
      </w:r>
      <w:proofErr w:type="spellStart"/>
      <w:r>
        <w:rPr>
          <w:lang w:val="fr-FR"/>
        </w:rPr>
        <w:t>Päivi</w:t>
      </w:r>
      <w:proofErr w:type="spellEnd"/>
      <w:r w:rsidRPr="00AD4F05">
        <w:rPr>
          <w:lang w:val="fr-FR"/>
        </w:rPr>
        <w:t xml:space="preserve"> </w:t>
      </w:r>
      <w:proofErr w:type="spellStart"/>
      <w:r>
        <w:rPr>
          <w:lang w:val="fr-FR"/>
        </w:rPr>
        <w:t>Hirvelä</w:t>
      </w:r>
      <w:proofErr w:type="spellEnd"/>
      <w:r w:rsidR="006544C4" w:rsidRPr="00AD4F05">
        <w:rPr>
          <w:lang w:val="fr-FR"/>
        </w:rPr>
        <w:br/>
      </w:r>
      <w:r w:rsidR="006544C4" w:rsidRPr="00AD4F05">
        <w:rPr>
          <w:lang w:val="fr-FR"/>
        </w:rPr>
        <w:tab/>
      </w:r>
      <w:r>
        <w:rPr>
          <w:lang w:val="fr-FR"/>
        </w:rPr>
        <w:t>Greffière</w:t>
      </w:r>
      <w:r w:rsidR="006544C4" w:rsidRPr="00AD4F05">
        <w:rPr>
          <w:lang w:val="fr-FR"/>
        </w:rPr>
        <w:tab/>
      </w:r>
      <w:r w:rsidRPr="00AD4F05">
        <w:rPr>
          <w:lang w:val="fr-FR"/>
        </w:rPr>
        <w:t>Présidente</w:t>
      </w:r>
    </w:p>
    <w:sectPr w:rsidR="00234E8A" w:rsidRPr="00AD4F05"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2BF" w:rsidRDefault="00BD22BF" w:rsidP="006544C4">
      <w:r>
        <w:separator/>
      </w:r>
    </w:p>
  </w:endnote>
  <w:endnote w:type="continuationSeparator" w:id="0">
    <w:p w:rsidR="00BD22BF" w:rsidRDefault="00BD22BF"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69" w:rsidRPr="00150BFA" w:rsidRDefault="000D6569" w:rsidP="000D6569">
    <w:pPr>
      <w:jc w:val="center"/>
    </w:pPr>
    <w:r>
      <w:rPr>
        <w:noProof/>
        <w:lang w:val="it-IT" w:eastAsia="it-IT"/>
      </w:rPr>
      <w:drawing>
        <wp:inline distT="0" distB="0" distL="0" distR="0" wp14:anchorId="17E19A28" wp14:editId="44E3BD0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D6569" w:rsidRPr="00633A19" w:rsidRDefault="000D6569" w:rsidP="000D6569">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2BF" w:rsidRDefault="00BD22BF" w:rsidP="006544C4">
      <w:r>
        <w:separator/>
      </w:r>
    </w:p>
  </w:footnote>
  <w:footnote w:type="continuationSeparator" w:id="0">
    <w:p w:rsidR="00BD22BF" w:rsidRDefault="00BD22BF"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69" w:rsidRPr="000D527F" w:rsidRDefault="000D6569"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3D0E54">
      <w:rPr>
        <w:rStyle w:val="Numeropagina"/>
        <w:noProof/>
        <w:lang w:val="en-GB"/>
      </w:rPr>
      <w:t>2</w:t>
    </w:r>
    <w:r>
      <w:rPr>
        <w:rStyle w:val="Numeropagina"/>
        <w:lang w:val="en-GB"/>
      </w:rPr>
      <w:fldChar w:fldCharType="end"/>
    </w:r>
    <w:r w:rsidRPr="000D527F">
      <w:rPr>
        <w:lang w:val="en-GB"/>
      </w:rPr>
      <w:tab/>
      <w:t xml:space="preserve">DÉCISION </w:t>
    </w:r>
    <w:r>
      <w:rPr>
        <w:lang w:val="en-GB"/>
      </w:rPr>
      <w:t>CICNUS SRL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69" w:rsidRPr="000D527F" w:rsidRDefault="000D6569" w:rsidP="006544C4">
    <w:pPr>
      <w:pStyle w:val="ECHRHeader"/>
      <w:rPr>
        <w:lang w:val="en-GB"/>
      </w:rPr>
    </w:pPr>
    <w:r>
      <w:tab/>
    </w:r>
    <w:r w:rsidRPr="000D527F">
      <w:rPr>
        <w:lang w:val="en-GB"/>
      </w:rPr>
      <w:t xml:space="preserve">DÉCISION </w:t>
    </w:r>
    <w:r>
      <w:rPr>
        <w:lang w:val="en-GB"/>
      </w:rPr>
      <w:t>CICNUS SRL c. ITALIE</w:t>
    </w:r>
    <w:r w:rsidRPr="000D527F">
      <w:rPr>
        <w:lang w:val="en-GB"/>
      </w:rPr>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3D0E54">
      <w:rPr>
        <w:rStyle w:val="Numeropagina"/>
        <w:noProof/>
        <w:lang w:val="en-GB"/>
      </w:rPr>
      <w:t>11</w:t>
    </w:r>
    <w:r>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69" w:rsidRPr="00A45145" w:rsidRDefault="000D6569" w:rsidP="000D6569">
    <w:pPr>
      <w:jc w:val="center"/>
    </w:pPr>
    <w:r>
      <w:rPr>
        <w:noProof/>
        <w:lang w:val="it-IT" w:eastAsia="it-IT"/>
      </w:rPr>
      <w:drawing>
        <wp:inline distT="0" distB="0" distL="0" distR="0" wp14:anchorId="28B2936A" wp14:editId="65CE020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D6569" w:rsidRDefault="000D6569" w:rsidP="000D656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0D6569"/>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76FEF"/>
    <w:rsid w:val="000925AD"/>
    <w:rsid w:val="000A24EB"/>
    <w:rsid w:val="000B6923"/>
    <w:rsid w:val="000C5F3C"/>
    <w:rsid w:val="000C6DCC"/>
    <w:rsid w:val="000D47AA"/>
    <w:rsid w:val="000D6569"/>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0E54"/>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5837"/>
    <w:rsid w:val="00627507"/>
    <w:rsid w:val="00633717"/>
    <w:rsid w:val="006344E1"/>
    <w:rsid w:val="00636A28"/>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D7840"/>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0619"/>
    <w:rsid w:val="00BA2D55"/>
    <w:rsid w:val="00BA71B1"/>
    <w:rsid w:val="00BA7294"/>
    <w:rsid w:val="00BB0637"/>
    <w:rsid w:val="00BB345F"/>
    <w:rsid w:val="00BB68EA"/>
    <w:rsid w:val="00BC1C27"/>
    <w:rsid w:val="00BC6BBF"/>
    <w:rsid w:val="00BD1572"/>
    <w:rsid w:val="00BD22BF"/>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334C"/>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09D2"/>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lsdException w:name="Medium Grid 1 Accent 3"/>
    <w:lsdException w:name="Medium Grid 2 Accent 3"/>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0D6569"/>
    <w:pPr>
      <w:jc w:val="both"/>
    </w:pPr>
    <w:rPr>
      <w:rFonts w:eastAsiaTheme="minorEastAsia"/>
      <w:sz w:val="24"/>
    </w:rPr>
  </w:style>
  <w:style w:type="paragraph" w:styleId="Titolo1">
    <w:name w:val="heading 1"/>
    <w:basedOn w:val="Normale"/>
    <w:next w:val="Normale"/>
    <w:link w:val="Titolo1Carattere"/>
    <w:uiPriority w:val="99"/>
    <w:semiHidden/>
    <w:rsid w:val="000D656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0D656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0D656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0D656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0D6569"/>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0D656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0D6569"/>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0D656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0D656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D65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569"/>
    <w:rPr>
      <w:rFonts w:ascii="Tahoma" w:eastAsiaTheme="minorEastAsia" w:hAnsi="Tahoma" w:cs="Tahoma"/>
      <w:sz w:val="16"/>
      <w:szCs w:val="16"/>
    </w:rPr>
  </w:style>
  <w:style w:type="character" w:styleId="Titolodellibro">
    <w:name w:val="Book Title"/>
    <w:uiPriority w:val="99"/>
    <w:semiHidden/>
    <w:qFormat/>
    <w:rsid w:val="000D6569"/>
    <w:rPr>
      <w:i/>
      <w:iCs/>
      <w:smallCaps/>
      <w:spacing w:val="5"/>
    </w:rPr>
  </w:style>
  <w:style w:type="paragraph" w:customStyle="1" w:styleId="ECHRHeader">
    <w:name w:val="ECHR_Header"/>
    <w:aliases w:val="Ju_Header"/>
    <w:basedOn w:val="Intestazione"/>
    <w:uiPriority w:val="4"/>
    <w:qFormat/>
    <w:rsid w:val="000D6569"/>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0D6569"/>
    <w:pPr>
      <w:numPr>
        <w:numId w:val="14"/>
      </w:numPr>
      <w:jc w:val="left"/>
    </w:pPr>
    <w:rPr>
      <w:b/>
    </w:rPr>
  </w:style>
  <w:style w:type="character" w:styleId="Enfasigrassetto">
    <w:name w:val="Strong"/>
    <w:uiPriority w:val="99"/>
    <w:semiHidden/>
    <w:qFormat/>
    <w:rsid w:val="000D6569"/>
    <w:rPr>
      <w:b/>
      <w:bCs/>
    </w:rPr>
  </w:style>
  <w:style w:type="paragraph" w:styleId="Nessunaspaziatura">
    <w:name w:val="No Spacing"/>
    <w:basedOn w:val="Normale"/>
    <w:link w:val="NessunaspaziaturaCarattere"/>
    <w:semiHidden/>
    <w:qFormat/>
    <w:rsid w:val="000D6569"/>
    <w:rPr>
      <w:sz w:val="22"/>
    </w:rPr>
  </w:style>
  <w:style w:type="character" w:customStyle="1" w:styleId="NessunaspaziaturaCarattere">
    <w:name w:val="Nessuna spaziatura Carattere"/>
    <w:basedOn w:val="Carpredefinitoparagrafo"/>
    <w:link w:val="Nessunaspaziatura"/>
    <w:semiHidden/>
    <w:rsid w:val="000D6569"/>
    <w:rPr>
      <w:rFonts w:eastAsiaTheme="minorEastAsia"/>
    </w:rPr>
  </w:style>
  <w:style w:type="paragraph" w:customStyle="1" w:styleId="OpiPara">
    <w:name w:val="Opi_Para"/>
    <w:basedOn w:val="ECHRPara"/>
    <w:uiPriority w:val="46"/>
    <w:semiHidden/>
    <w:qFormat/>
    <w:rsid w:val="000D6569"/>
  </w:style>
  <w:style w:type="paragraph" w:customStyle="1" w:styleId="ECHRParaQuote">
    <w:name w:val="ECHR_Para_Quote"/>
    <w:aliases w:val="Ju_Quot,Para_Quote"/>
    <w:basedOn w:val="Normale"/>
    <w:uiPriority w:val="14"/>
    <w:qFormat/>
    <w:rsid w:val="000D6569"/>
    <w:pPr>
      <w:spacing w:before="120" w:after="120"/>
      <w:ind w:left="425" w:firstLine="142"/>
    </w:pPr>
    <w:rPr>
      <w:sz w:val="20"/>
    </w:rPr>
  </w:style>
  <w:style w:type="paragraph" w:customStyle="1" w:styleId="JuParaSub">
    <w:name w:val="Ju_Para_Sub"/>
    <w:basedOn w:val="ECHRPara"/>
    <w:uiPriority w:val="13"/>
    <w:qFormat/>
    <w:rsid w:val="000D6569"/>
    <w:pPr>
      <w:ind w:left="284"/>
    </w:pPr>
  </w:style>
  <w:style w:type="paragraph" w:customStyle="1" w:styleId="OpiParaSub">
    <w:name w:val="Opi_Para_Sub"/>
    <w:basedOn w:val="JuParaSub"/>
    <w:uiPriority w:val="47"/>
    <w:semiHidden/>
    <w:qFormat/>
    <w:rsid w:val="000D6569"/>
  </w:style>
  <w:style w:type="paragraph" w:customStyle="1" w:styleId="OpiQuot">
    <w:name w:val="Opi_Quot"/>
    <w:basedOn w:val="ECHRParaQuote"/>
    <w:uiPriority w:val="48"/>
    <w:semiHidden/>
    <w:qFormat/>
    <w:rsid w:val="000D6569"/>
  </w:style>
  <w:style w:type="paragraph" w:customStyle="1" w:styleId="OpiQuotSub">
    <w:name w:val="Opi_Quot_Sub"/>
    <w:basedOn w:val="JuQuotSub"/>
    <w:uiPriority w:val="49"/>
    <w:semiHidden/>
    <w:qFormat/>
    <w:rsid w:val="000D6569"/>
  </w:style>
  <w:style w:type="paragraph" w:customStyle="1" w:styleId="ECHRTitleCentre3">
    <w:name w:val="ECHR_Title_Centre_3"/>
    <w:aliases w:val="Ju_H_Article"/>
    <w:basedOn w:val="Normale"/>
    <w:next w:val="ECHRParaQuote"/>
    <w:uiPriority w:val="27"/>
    <w:qFormat/>
    <w:rsid w:val="000D656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0D6569"/>
    <w:pPr>
      <w:keepNext/>
      <w:keepLines/>
      <w:spacing w:after="240"/>
      <w:jc w:val="center"/>
      <w:outlineLvl w:val="0"/>
    </w:pPr>
    <w:rPr>
      <w:rFonts w:asciiTheme="majorHAnsi" w:hAnsiTheme="majorHAnsi"/>
      <w:sz w:val="28"/>
    </w:rPr>
  </w:style>
  <w:style w:type="paragraph" w:customStyle="1" w:styleId="JuCase">
    <w:name w:val="Ju_Case"/>
    <w:basedOn w:val="Normale"/>
    <w:next w:val="ECHRPara"/>
    <w:uiPriority w:val="10"/>
    <w:semiHidden/>
    <w:rsid w:val="000D6569"/>
    <w:pPr>
      <w:ind w:firstLine="284"/>
    </w:pPr>
    <w:rPr>
      <w:b/>
    </w:rPr>
  </w:style>
  <w:style w:type="paragraph" w:customStyle="1" w:styleId="ECHRTitle1">
    <w:name w:val="ECHR_Title_1"/>
    <w:aliases w:val="Ju_H_Head"/>
    <w:basedOn w:val="Normale"/>
    <w:next w:val="ECHRPara"/>
    <w:uiPriority w:val="18"/>
    <w:qFormat/>
    <w:rsid w:val="000D6569"/>
    <w:pPr>
      <w:keepNext/>
      <w:keepLines/>
      <w:spacing w:before="720" w:after="240"/>
      <w:outlineLvl w:val="0"/>
    </w:pPr>
    <w:rPr>
      <w:rFonts w:asciiTheme="majorHAnsi" w:hAnsiTheme="majorHAnsi"/>
      <w:sz w:val="28"/>
    </w:rPr>
  </w:style>
  <w:style w:type="paragraph" w:customStyle="1" w:styleId="JuQuotSub">
    <w:name w:val="Ju_Quot_Sub"/>
    <w:basedOn w:val="ECHRParaQuote"/>
    <w:uiPriority w:val="15"/>
    <w:qFormat/>
    <w:rsid w:val="000D6569"/>
    <w:pPr>
      <w:ind w:left="567"/>
    </w:pPr>
  </w:style>
  <w:style w:type="paragraph" w:styleId="Titolo">
    <w:name w:val="Title"/>
    <w:basedOn w:val="Normale"/>
    <w:next w:val="Normale"/>
    <w:link w:val="TitoloCarattere"/>
    <w:uiPriority w:val="99"/>
    <w:semiHidden/>
    <w:qFormat/>
    <w:rsid w:val="000D656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D6569"/>
    <w:rPr>
      <w:rFonts w:asciiTheme="majorHAnsi" w:eastAsiaTheme="majorEastAsia" w:hAnsiTheme="majorHAnsi" w:cstheme="majorBidi"/>
      <w:spacing w:val="5"/>
      <w:sz w:val="52"/>
      <w:szCs w:val="52"/>
      <w:lang w:bidi="en-US"/>
    </w:rPr>
  </w:style>
  <w:style w:type="paragraph" w:customStyle="1" w:styleId="JuInitialled">
    <w:name w:val="Ju_Initialled"/>
    <w:basedOn w:val="Normale"/>
    <w:uiPriority w:val="31"/>
    <w:qFormat/>
    <w:rsid w:val="000D6569"/>
    <w:pPr>
      <w:tabs>
        <w:tab w:val="center" w:pos="6407"/>
      </w:tabs>
      <w:spacing w:before="720"/>
      <w:jc w:val="right"/>
    </w:pPr>
  </w:style>
  <w:style w:type="paragraph" w:customStyle="1" w:styleId="OpiHA">
    <w:name w:val="Opi_H_A"/>
    <w:basedOn w:val="ECHRHeading1"/>
    <w:next w:val="OpiPara"/>
    <w:uiPriority w:val="41"/>
    <w:semiHidden/>
    <w:qFormat/>
    <w:rsid w:val="000D6569"/>
    <w:pPr>
      <w:tabs>
        <w:tab w:val="clear" w:pos="357"/>
      </w:tabs>
      <w:outlineLvl w:val="1"/>
    </w:pPr>
    <w:rPr>
      <w:b/>
    </w:rPr>
  </w:style>
  <w:style w:type="character" w:customStyle="1" w:styleId="JUNAMES">
    <w:name w:val="JU_NAMES"/>
    <w:uiPriority w:val="17"/>
    <w:qFormat/>
    <w:rsid w:val="000D6569"/>
    <w:rPr>
      <w:caps w:val="0"/>
      <w:smallCaps/>
    </w:rPr>
  </w:style>
  <w:style w:type="character" w:customStyle="1" w:styleId="JuITMark">
    <w:name w:val="Ju_ITMark"/>
    <w:basedOn w:val="Carpredefinitoparagrafo"/>
    <w:uiPriority w:val="38"/>
    <w:qFormat/>
    <w:rsid w:val="000D6569"/>
    <w:rPr>
      <w:vanish w:val="0"/>
      <w:color w:val="auto"/>
      <w:sz w:val="14"/>
    </w:rPr>
  </w:style>
  <w:style w:type="paragraph" w:customStyle="1" w:styleId="OpiTranslation">
    <w:name w:val="Opi_Translation"/>
    <w:basedOn w:val="Normale"/>
    <w:next w:val="OpiPara"/>
    <w:uiPriority w:val="40"/>
    <w:semiHidden/>
    <w:qFormat/>
    <w:rsid w:val="000D6569"/>
    <w:pPr>
      <w:jc w:val="center"/>
      <w:outlineLvl w:val="0"/>
    </w:pPr>
    <w:rPr>
      <w:i/>
    </w:rPr>
  </w:style>
  <w:style w:type="paragraph" w:customStyle="1" w:styleId="ECHRHeading1">
    <w:name w:val="ECHR_Heading_1"/>
    <w:aliases w:val="Ju_H_I_Roman"/>
    <w:basedOn w:val="Titolo1"/>
    <w:next w:val="ECHRPara"/>
    <w:uiPriority w:val="19"/>
    <w:qFormat/>
    <w:rsid w:val="000D656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0D6569"/>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0D6569"/>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0D656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0D6569"/>
    <w:rPr>
      <w:sz w:val="24"/>
    </w:rPr>
  </w:style>
  <w:style w:type="character" w:customStyle="1" w:styleId="Titolo1Carattere">
    <w:name w:val="Titolo 1 Carattere"/>
    <w:basedOn w:val="Carpredefinitoparagrafo"/>
    <w:link w:val="Titolo1"/>
    <w:uiPriority w:val="99"/>
    <w:semiHidden/>
    <w:rsid w:val="000D6569"/>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0D656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0D6569"/>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0D6569"/>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0D656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0D6569"/>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0D6569"/>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0D6569"/>
    <w:pPr>
      <w:keepNext/>
      <w:keepLines/>
      <w:spacing w:before="240"/>
      <w:ind w:firstLine="284"/>
    </w:pPr>
  </w:style>
  <w:style w:type="paragraph" w:customStyle="1" w:styleId="DecList">
    <w:name w:val="Dec_List"/>
    <w:basedOn w:val="Normale"/>
    <w:uiPriority w:val="9"/>
    <w:qFormat/>
    <w:rsid w:val="000D6569"/>
    <w:pPr>
      <w:spacing w:before="240"/>
      <w:ind w:left="284"/>
    </w:pPr>
  </w:style>
  <w:style w:type="character" w:customStyle="1" w:styleId="Titolo4Carattere">
    <w:name w:val="Titolo 4 Carattere"/>
    <w:basedOn w:val="Carpredefinitoparagrafo"/>
    <w:link w:val="Titolo4"/>
    <w:uiPriority w:val="99"/>
    <w:semiHidden/>
    <w:rsid w:val="000D6569"/>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0D6569"/>
    <w:pPr>
      <w:tabs>
        <w:tab w:val="left" w:pos="567"/>
        <w:tab w:val="left" w:pos="1134"/>
      </w:tabs>
      <w:jc w:val="left"/>
    </w:pPr>
  </w:style>
  <w:style w:type="character" w:customStyle="1" w:styleId="Titolo5Carattere">
    <w:name w:val="Titolo 5 Carattere"/>
    <w:basedOn w:val="Carpredefinitoparagrafo"/>
    <w:link w:val="Titolo5"/>
    <w:uiPriority w:val="99"/>
    <w:semiHidden/>
    <w:rsid w:val="000D6569"/>
    <w:rPr>
      <w:rFonts w:asciiTheme="majorHAnsi" w:eastAsiaTheme="majorEastAsia" w:hAnsiTheme="majorHAnsi" w:cstheme="majorBidi"/>
      <w:b/>
      <w:bCs/>
      <w:color w:val="808080"/>
    </w:rPr>
  </w:style>
  <w:style w:type="paragraph" w:customStyle="1" w:styleId="JuCourt">
    <w:name w:val="Ju_Court"/>
    <w:basedOn w:val="Normale"/>
    <w:next w:val="Normale"/>
    <w:uiPriority w:val="16"/>
    <w:qFormat/>
    <w:rsid w:val="000D6569"/>
    <w:pPr>
      <w:tabs>
        <w:tab w:val="left" w:pos="907"/>
        <w:tab w:val="left" w:pos="1701"/>
        <w:tab w:val="right" w:pos="7371"/>
      </w:tabs>
      <w:spacing w:before="240"/>
      <w:ind w:left="397" w:hanging="397"/>
      <w:jc w:val="left"/>
    </w:pPr>
    <w:rPr>
      <w:lang w:bidi="en-US"/>
    </w:rPr>
  </w:style>
  <w:style w:type="paragraph" w:customStyle="1" w:styleId="JuList">
    <w:name w:val="Ju_List"/>
    <w:basedOn w:val="Normale"/>
    <w:uiPriority w:val="28"/>
    <w:qFormat/>
    <w:rsid w:val="000D6569"/>
    <w:pPr>
      <w:ind w:left="340" w:hanging="340"/>
    </w:pPr>
  </w:style>
  <w:style w:type="character" w:styleId="Enfasidelicata">
    <w:name w:val="Subtle Emphasis"/>
    <w:uiPriority w:val="99"/>
    <w:semiHidden/>
    <w:qFormat/>
    <w:rsid w:val="000D6569"/>
    <w:rPr>
      <w:i/>
      <w:iCs/>
    </w:rPr>
  </w:style>
  <w:style w:type="paragraph" w:customStyle="1" w:styleId="JuLista">
    <w:name w:val="Ju_List_a"/>
    <w:basedOn w:val="JuList"/>
    <w:uiPriority w:val="28"/>
    <w:qFormat/>
    <w:rsid w:val="000D6569"/>
    <w:pPr>
      <w:ind w:left="346" w:firstLine="0"/>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basedOn w:val="Normale"/>
    <w:next w:val="JuLista"/>
    <w:uiPriority w:val="28"/>
    <w:qFormat/>
    <w:rsid w:val="000D6569"/>
    <w:pPr>
      <w:ind w:left="794"/>
    </w:pPr>
  </w:style>
  <w:style w:type="paragraph" w:customStyle="1" w:styleId="OpiH1">
    <w:name w:val="Opi_H_1"/>
    <w:basedOn w:val="ECHRHeading2"/>
    <w:uiPriority w:val="42"/>
    <w:semiHidden/>
    <w:qFormat/>
    <w:rsid w:val="000D6569"/>
    <w:pPr>
      <w:ind w:left="635" w:hanging="357"/>
      <w:outlineLvl w:val="2"/>
    </w:pPr>
  </w:style>
  <w:style w:type="paragraph" w:customStyle="1" w:styleId="ECHRTitleCentre2">
    <w:name w:val="ECHR_Title_Centre_2"/>
    <w:aliases w:val="Dec_H_Case"/>
    <w:basedOn w:val="Normale"/>
    <w:next w:val="ECHRPara"/>
    <w:uiPriority w:val="8"/>
    <w:qFormat/>
    <w:rsid w:val="000D6569"/>
    <w:pPr>
      <w:spacing w:after="240"/>
      <w:jc w:val="center"/>
      <w:outlineLvl w:val="0"/>
    </w:pPr>
    <w:rPr>
      <w:rFonts w:asciiTheme="majorHAnsi" w:hAnsiTheme="majorHAnsi"/>
    </w:rPr>
  </w:style>
  <w:style w:type="character" w:styleId="Enfasicorsivo">
    <w:name w:val="Emphasis"/>
    <w:uiPriority w:val="99"/>
    <w:semiHidden/>
    <w:qFormat/>
    <w:rsid w:val="000D6569"/>
    <w:rPr>
      <w:b/>
      <w:bCs/>
      <w:i/>
      <w:iCs/>
      <w:spacing w:val="10"/>
      <w:bdr w:val="none" w:sz="0" w:space="0" w:color="auto"/>
      <w:shd w:val="clear" w:color="auto" w:fill="auto"/>
    </w:rPr>
  </w:style>
  <w:style w:type="paragraph" w:styleId="Pidipagina">
    <w:name w:val="footer"/>
    <w:basedOn w:val="Normale"/>
    <w:link w:val="PidipaginaCarattere"/>
    <w:uiPriority w:val="57"/>
    <w:semiHidden/>
    <w:rsid w:val="000D656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0D6569"/>
    <w:rPr>
      <w:sz w:val="24"/>
    </w:rPr>
  </w:style>
  <w:style w:type="character" w:styleId="Rimandonotaapidipagina">
    <w:name w:val="footnote reference"/>
    <w:basedOn w:val="Carpredefinitoparagrafo"/>
    <w:uiPriority w:val="99"/>
    <w:semiHidden/>
    <w:rsid w:val="000D6569"/>
    <w:rPr>
      <w:vertAlign w:val="superscript"/>
    </w:rPr>
  </w:style>
  <w:style w:type="paragraph" w:styleId="Testonotaapidipagina">
    <w:name w:val="footnote text"/>
    <w:basedOn w:val="Normale"/>
    <w:link w:val="TestonotaapidipaginaCarattere"/>
    <w:uiPriority w:val="99"/>
    <w:semiHidden/>
    <w:rsid w:val="000D6569"/>
    <w:rPr>
      <w:sz w:val="20"/>
      <w:szCs w:val="20"/>
    </w:rPr>
  </w:style>
  <w:style w:type="character" w:customStyle="1" w:styleId="TestonotaapidipaginaCarattere">
    <w:name w:val="Testo nota a piè di pagina Carattere"/>
    <w:basedOn w:val="Carpredefinitoparagrafo"/>
    <w:link w:val="Testonotaapidipagina"/>
    <w:uiPriority w:val="99"/>
    <w:semiHidden/>
    <w:rsid w:val="000D6569"/>
    <w:rPr>
      <w:rFonts w:eastAsiaTheme="minorEastAsia"/>
      <w:sz w:val="20"/>
      <w:szCs w:val="20"/>
    </w:rPr>
  </w:style>
  <w:style w:type="character" w:customStyle="1" w:styleId="Titolo6Carattere">
    <w:name w:val="Titolo 6 Carattere"/>
    <w:basedOn w:val="Carpredefinitoparagrafo"/>
    <w:link w:val="Titolo6"/>
    <w:uiPriority w:val="99"/>
    <w:semiHidden/>
    <w:rsid w:val="000D6569"/>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0D6569"/>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D6569"/>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D6569"/>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0D6569"/>
    <w:rPr>
      <w:color w:val="0072BC" w:themeColor="hyperlink"/>
      <w:u w:val="single"/>
    </w:rPr>
  </w:style>
  <w:style w:type="character" w:styleId="Enfasiintensa">
    <w:name w:val="Intense Emphasis"/>
    <w:uiPriority w:val="99"/>
    <w:semiHidden/>
    <w:qFormat/>
    <w:rsid w:val="000D6569"/>
    <w:rPr>
      <w:b/>
      <w:bCs/>
    </w:rPr>
  </w:style>
  <w:style w:type="paragraph" w:styleId="Citazioneintensa">
    <w:name w:val="Intense Quote"/>
    <w:basedOn w:val="Normale"/>
    <w:next w:val="Normale"/>
    <w:link w:val="CitazioneintensaCarattere"/>
    <w:uiPriority w:val="99"/>
    <w:semiHidden/>
    <w:qFormat/>
    <w:rsid w:val="000D6569"/>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0D6569"/>
    <w:rPr>
      <w:rFonts w:eastAsiaTheme="minorEastAsia"/>
      <w:b/>
      <w:bCs/>
      <w:i/>
      <w:iCs/>
      <w:lang w:bidi="en-US"/>
    </w:rPr>
  </w:style>
  <w:style w:type="character" w:styleId="Riferimentointenso">
    <w:name w:val="Intense Reference"/>
    <w:uiPriority w:val="99"/>
    <w:semiHidden/>
    <w:qFormat/>
    <w:rsid w:val="000D6569"/>
    <w:rPr>
      <w:smallCaps/>
      <w:spacing w:val="5"/>
      <w:u w:val="single"/>
    </w:rPr>
  </w:style>
  <w:style w:type="paragraph" w:styleId="Paragrafoelenco">
    <w:name w:val="List Paragraph"/>
    <w:basedOn w:val="Normale"/>
    <w:uiPriority w:val="99"/>
    <w:semiHidden/>
    <w:qFormat/>
    <w:rsid w:val="000D656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0D6569"/>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0D6569"/>
    <w:rPr>
      <w:rFonts w:eastAsiaTheme="minorEastAsia"/>
      <w:i/>
      <w:iCs/>
      <w:lang w:bidi="en-US"/>
    </w:rPr>
  </w:style>
  <w:style w:type="character" w:styleId="Riferimentodelicato">
    <w:name w:val="Subtle Reference"/>
    <w:uiPriority w:val="99"/>
    <w:semiHidden/>
    <w:qFormat/>
    <w:rsid w:val="000D6569"/>
    <w:rPr>
      <w:smallCaps/>
    </w:rPr>
  </w:style>
  <w:style w:type="table" w:styleId="Grigliatabella">
    <w:name w:val="Table Grid"/>
    <w:basedOn w:val="Tabellanormale"/>
    <w:uiPriority w:val="59"/>
    <w:semiHidden/>
    <w:rsid w:val="000D656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0D6569"/>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0D6569"/>
    <w:pPr>
      <w:spacing w:after="60"/>
      <w:ind w:left="680" w:right="340" w:hanging="340"/>
    </w:pPr>
  </w:style>
  <w:style w:type="paragraph" w:styleId="Sommario3">
    <w:name w:val="toc 3"/>
    <w:basedOn w:val="Normale"/>
    <w:next w:val="Normale"/>
    <w:autoRedefine/>
    <w:uiPriority w:val="99"/>
    <w:semiHidden/>
    <w:rsid w:val="000D6569"/>
    <w:pPr>
      <w:spacing w:after="60"/>
      <w:ind w:left="1020" w:right="340" w:hanging="340"/>
    </w:pPr>
  </w:style>
  <w:style w:type="paragraph" w:styleId="Sommario4">
    <w:name w:val="toc 4"/>
    <w:basedOn w:val="Normale"/>
    <w:next w:val="Normale"/>
    <w:autoRedefine/>
    <w:uiPriority w:val="99"/>
    <w:semiHidden/>
    <w:rsid w:val="000D6569"/>
    <w:pPr>
      <w:tabs>
        <w:tab w:val="right" w:leader="dot" w:pos="9017"/>
      </w:tabs>
      <w:spacing w:after="60"/>
      <w:ind w:left="1361" w:right="340" w:hanging="340"/>
    </w:pPr>
  </w:style>
  <w:style w:type="paragraph" w:styleId="Sommario5">
    <w:name w:val="toc 5"/>
    <w:basedOn w:val="Normale"/>
    <w:next w:val="Normale"/>
    <w:autoRedefine/>
    <w:uiPriority w:val="99"/>
    <w:semiHidden/>
    <w:rsid w:val="000D6569"/>
    <w:pPr>
      <w:spacing w:after="60"/>
      <w:ind w:left="1701" w:right="340" w:hanging="340"/>
    </w:pPr>
  </w:style>
  <w:style w:type="paragraph" w:styleId="Titolosommario">
    <w:name w:val="TOC Heading"/>
    <w:basedOn w:val="Titolo1"/>
    <w:next w:val="Normale"/>
    <w:uiPriority w:val="99"/>
    <w:semiHidden/>
    <w:qFormat/>
    <w:rsid w:val="000D6569"/>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0D6569"/>
    <w:pPr>
      <w:spacing w:before="120"/>
    </w:pPr>
    <w:rPr>
      <w:rFonts w:asciiTheme="majorHAnsi" w:eastAsiaTheme="majorEastAsia" w:hAnsiTheme="majorHAnsi" w:cstheme="majorBidi"/>
      <w:b/>
      <w:bCs/>
      <w:color w:val="474747" w:themeColor="accent3" w:themeShade="BF"/>
      <w:szCs w:val="24"/>
    </w:rPr>
  </w:style>
  <w:style w:type="paragraph" w:customStyle="1" w:styleId="OpiHa0">
    <w:name w:val="Opi_H_a"/>
    <w:basedOn w:val="ECHRHeading3"/>
    <w:uiPriority w:val="43"/>
    <w:semiHidden/>
    <w:qFormat/>
    <w:rsid w:val="000D6569"/>
    <w:pPr>
      <w:ind w:left="833" w:hanging="357"/>
      <w:outlineLvl w:val="3"/>
    </w:pPr>
    <w:rPr>
      <w:b/>
      <w:i w:val="0"/>
      <w:sz w:val="20"/>
    </w:rPr>
  </w:style>
  <w:style w:type="paragraph" w:customStyle="1" w:styleId="OpiHi">
    <w:name w:val="Opi_H_i"/>
    <w:basedOn w:val="ECHRHeading4"/>
    <w:uiPriority w:val="44"/>
    <w:semiHidden/>
    <w:qFormat/>
    <w:rsid w:val="000D6569"/>
    <w:pPr>
      <w:ind w:left="1037" w:hanging="357"/>
      <w:outlineLvl w:val="4"/>
    </w:pPr>
    <w:rPr>
      <w:b w:val="0"/>
      <w:i/>
    </w:rPr>
  </w:style>
  <w:style w:type="paragraph" w:styleId="Sottotitolo">
    <w:name w:val="Subtitle"/>
    <w:basedOn w:val="Normale"/>
    <w:next w:val="Normale"/>
    <w:link w:val="SottotitoloCarattere"/>
    <w:uiPriority w:val="99"/>
    <w:semiHidden/>
    <w:qFormat/>
    <w:rsid w:val="000D6569"/>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0D6569"/>
    <w:pPr>
      <w:ind w:firstLine="284"/>
    </w:pPr>
  </w:style>
  <w:style w:type="character" w:customStyle="1" w:styleId="SottotitoloCarattere">
    <w:name w:val="Sottotitolo Carattere"/>
    <w:basedOn w:val="Carpredefinitoparagrafo"/>
    <w:link w:val="Sottotitolo"/>
    <w:uiPriority w:val="99"/>
    <w:semiHidden/>
    <w:rsid w:val="000D6569"/>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D6569"/>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0D6569"/>
    <w:pPr>
      <w:tabs>
        <w:tab w:val="center" w:pos="851"/>
        <w:tab w:val="center" w:pos="6407"/>
      </w:tabs>
      <w:spacing w:before="720"/>
      <w:jc w:val="left"/>
    </w:pPr>
  </w:style>
  <w:style w:type="paragraph" w:customStyle="1" w:styleId="JuTitle">
    <w:name w:val="Ju_Title"/>
    <w:basedOn w:val="Normale"/>
    <w:next w:val="ECHRPara"/>
    <w:uiPriority w:val="3"/>
    <w:qFormat/>
    <w:rsid w:val="000D6569"/>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0D6569"/>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semiHidden/>
    <w:rsid w:val="006544C4"/>
    <w:pPr>
      <w:numPr>
        <w:numId w:val="2"/>
      </w:numPr>
      <w:contextualSpacing/>
    </w:pPr>
  </w:style>
  <w:style w:type="character" w:customStyle="1" w:styleId="CorpotestoCarattere">
    <w:name w:val="Corpo testo Carattere"/>
    <w:basedOn w:val="Carpredefinitoparagrafo"/>
    <w:link w:val="Corpotesto"/>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semiHidden/>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DummyStyle">
    <w:name w:val="Dummy_Style"/>
    <w:basedOn w:val="Normale"/>
    <w:semiHidden/>
    <w:qFormat/>
    <w:rsid w:val="000D6569"/>
    <w:rPr>
      <w:color w:val="00B050"/>
      <w:lang w:bidi="en-US"/>
    </w:rPr>
  </w:style>
  <w:style w:type="paragraph" w:customStyle="1" w:styleId="ECHRFooter">
    <w:name w:val="ECHR_Footer"/>
    <w:aliases w:val="Footer_ECHR"/>
    <w:basedOn w:val="Pidipagina"/>
    <w:uiPriority w:val="57"/>
    <w:semiHidden/>
    <w:rsid w:val="000D6569"/>
    <w:pPr>
      <w:jc w:val="left"/>
    </w:pPr>
    <w:rPr>
      <w:sz w:val="8"/>
    </w:rPr>
  </w:style>
  <w:style w:type="paragraph" w:customStyle="1" w:styleId="ECHRFooterLine">
    <w:name w:val="ECHR_Footer_Line"/>
    <w:aliases w:val="Footer_Line"/>
    <w:basedOn w:val="Normale"/>
    <w:next w:val="ECHRFooter"/>
    <w:uiPriority w:val="57"/>
    <w:semiHidden/>
    <w:rsid w:val="000D6569"/>
    <w:pPr>
      <w:pBdr>
        <w:top w:val="single" w:sz="6" w:space="1" w:color="5F5F5F"/>
      </w:pBdr>
      <w:tabs>
        <w:tab w:val="center" w:pos="4536"/>
        <w:tab w:val="right" w:pos="9696"/>
      </w:tabs>
      <w:ind w:left="-680" w:right="-680"/>
      <w:jc w:val="left"/>
    </w:pPr>
    <w:rPr>
      <w:color w:val="5F5F5F"/>
    </w:rPr>
  </w:style>
  <w:style w:type="character" w:customStyle="1" w:styleId="ECHRParaChar">
    <w:name w:val="ECHR_Para Char"/>
    <w:aliases w:val="Ju_Para Char"/>
    <w:link w:val="ECHRPara"/>
    <w:uiPriority w:val="12"/>
    <w:rsid w:val="000D6569"/>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30470-20C8-4F62-885E-B611DEF1049E}">
  <ds:schemaRefs>
    <ds:schemaRef ds:uri="http://schemas.microsoft.com/sharepoint/v3/contenttype/forms"/>
  </ds:schemaRefs>
</ds:datastoreItem>
</file>

<file path=customXml/itemProps2.xml><?xml version="1.0" encoding="utf-8"?>
<ds:datastoreItem xmlns:ds="http://schemas.openxmlformats.org/officeDocument/2006/customXml" ds:itemID="{2BCDA4AD-0B83-406A-A377-802AF83F9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DEF72E-C67D-4C27-8E5C-76FA996EC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4561CA-9AC3-414C-9F7B-637E685C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4479</Words>
  <Characters>25533</Characters>
  <Application>Microsoft Office Word</Application>
  <DocSecurity>0</DocSecurity>
  <Lines>212</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2015-10-23T08:09:00Z</dcterms:created>
  <dcterms:modified xsi:type="dcterms:W3CDTF">2015-10-23T08:09:00Z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